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Informe de Cumplimiento Normativo — Aurun</w:t>
      </w:r>
    </w:p>
    <w:p>
      <w:pPr>
        <w:pStyle w:val="Author"/>
      </w:pPr>
      <w:r>
        <w:t xml:space="preserve">Protección de Datos (RGPD/LOPDGDD) e Inteligencia Artificial (AI Act)</w:t>
      </w:r>
    </w:p>
    <w:p>
      <w:pPr>
        <w:pStyle w:val="Date"/>
      </w:pPr>
      <w:r>
        <w:t xml:space="preserve">Mayo 2026 · Documento para inversores · Versión 1.0</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p>
      <w:r>
        <w:pict>
          <v:rect style="width:0;height:1.5pt" o:hralign="center" o:hrstd="t" o:hr="t"/>
        </w:pict>
      </w:r>
    </w:p>
    <w:bookmarkStart w:id="9" w:name="resumen-ejecutivo"/>
    <w:p>
      <w:pPr>
        <w:pStyle w:val="Heading1"/>
      </w:pPr>
      <w:r>
        <w:t xml:space="preserve">Resumen ejecutivo</w:t>
      </w:r>
    </w:p>
    <w:p>
      <w:pPr>
        <w:pStyle w:val="FirstParagraph"/>
      </w:pPr>
      <w:r>
        <w:t xml:space="preserve">Aurun es una red social de citas y vídeo basada en IA con verificación de identidad, sistema de matching algorítmico y comunidades sociales. Operamos en territorio español y de la Unión Europea y, por tanto, estamos sometidos al</w:t>
      </w:r>
      <w:r>
        <w:t xml:space="preserve"> </w:t>
      </w:r>
      <w:r>
        <w:rPr>
          <w:b/>
          <w:bCs/>
        </w:rPr>
        <w:t xml:space="preserve">Reglamento (UE) 2016/679 (RGPD)</w:t>
      </w:r>
      <w:r>
        <w:t xml:space="preserve">, a la</w:t>
      </w:r>
      <w:r>
        <w:t xml:space="preserve"> </w:t>
      </w:r>
      <w:r>
        <w:rPr>
          <w:b/>
          <w:bCs/>
        </w:rPr>
        <w:t xml:space="preserve">Ley Orgánica 3/2018 de Protección de Datos Personales y Garantía de los Derechos Digitales (LOPDGDD)</w:t>
      </w:r>
      <w:r>
        <w:t xml:space="preserve"> </w:t>
      </w:r>
      <w:r>
        <w:t xml:space="preserve">y al</w:t>
      </w:r>
      <w:r>
        <w:t xml:space="preserve"> </w:t>
      </w:r>
      <w:r>
        <w:rPr>
          <w:b/>
          <w:bCs/>
        </w:rPr>
        <w:t xml:space="preserve">Reglamento (UE) 2024/1689 sobre Inteligencia Artificial (AI Act)</w:t>
      </w:r>
      <w:r>
        <w:t xml:space="preserve">, plenamente aplicable desde el 2 de agosto de 2026 para los sistemas de IA de uso general y desde el 2 de febrero de 2025 para las prácticas prohibidas.</w:t>
      </w:r>
    </w:p>
    <w:p>
      <w:pPr>
        <w:pStyle w:val="BodyText"/>
      </w:pPr>
      <w:r>
        <w:t xml:space="preserve">Tras una auditoría interna y un proceso de remediación estructurado en seis bloques de trabajo, el producto se ha rediseñado siguiendo un enfoque</w:t>
      </w:r>
      <w:r>
        <w:t xml:space="preserve"> </w:t>
      </w:r>
      <w:r>
        <w:rPr>
          <w:b/>
          <w:bCs/>
        </w:rPr>
        <w:t xml:space="preserve">privacy-by-design</w:t>
      </w:r>
      <w:r>
        <w:t xml:space="preserve"> </w:t>
      </w:r>
      <w:r>
        <w:t xml:space="preserve">y</w:t>
      </w:r>
      <w:r>
        <w:t xml:space="preserve"> </w:t>
      </w:r>
      <w:r>
        <w:rPr>
          <w:b/>
          <w:bCs/>
        </w:rPr>
        <w:t xml:space="preserve">AI-by-design</w:t>
      </w:r>
      <w:r>
        <w:t xml:space="preserve">. Este documento explica de forma exhaustiva las decisiones técnicas, jurídicas y de producto que sustentan el cumplimiento.</w:t>
      </w:r>
    </w:p>
    <w:p>
      <w:pPr>
        <w:pStyle w:val="BodyText"/>
      </w:pPr>
      <w:r>
        <w:rPr>
          <w:b/>
          <w:bCs/>
        </w:rPr>
        <w:t xml:space="preserve">Conclusión:</w:t>
      </w:r>
      <w:r>
        <w:t xml:space="preserve"> </w:t>
      </w:r>
      <w:r>
        <w:t xml:space="preserve">Aurun se encuentra en una posición de cumplimiento sustancial frente al marco español y europeo de protección de datos e IA. Las prácticas prohibidas por el AI Act se han eliminado, las bases jurídicas del RGPD están correctamente asignadas, los derechos de los usuarios son ejercitables desde la app, y la gobernanza de IA es transparente y auditable.</w:t>
      </w:r>
    </w:p>
    <w:p>
      <w:r>
        <w:pict>
          <v:rect style="width:0;height:1.5pt" o:hralign="center" o:hrstd="t" o:hr="t"/>
        </w:pict>
      </w:r>
    </w:p>
    <w:bookmarkEnd w:id="9"/>
    <w:bookmarkStart w:id="13" w:name="marco-normativo-aplicable"/>
    <w:p>
      <w:pPr>
        <w:pStyle w:val="Heading1"/>
      </w:pPr>
      <w:r>
        <w:t xml:space="preserve">1. Marco normativo aplicable</w:t>
      </w:r>
    </w:p>
    <w:bookmarkStart w:id="10" w:name="protección-de-datos"/>
    <w:p>
      <w:pPr>
        <w:pStyle w:val="Heading2"/>
      </w:pPr>
      <w:r>
        <w:t xml:space="preserve">1.1 Protección de datos</w:t>
      </w:r>
    </w:p>
    <w:p>
      <w:pPr>
        <w:pStyle w:val="Compact"/>
        <w:numPr>
          <w:ilvl w:val="0"/>
          <w:numId w:val="1001"/>
        </w:numPr>
      </w:pPr>
      <w:r>
        <w:rPr>
          <w:b/>
          <w:bCs/>
        </w:rPr>
        <w:t xml:space="preserve">RGPD (Reglamento (UE) 2016/679)</w:t>
      </w:r>
      <w:r>
        <w:t xml:space="preserve"> </w:t>
      </w:r>
      <w:r>
        <w:t xml:space="preserve">— norma común europea.</w:t>
      </w:r>
    </w:p>
    <w:p>
      <w:pPr>
        <w:pStyle w:val="Compact"/>
        <w:numPr>
          <w:ilvl w:val="0"/>
          <w:numId w:val="1001"/>
        </w:numPr>
      </w:pPr>
      <w:r>
        <w:rPr>
          <w:b/>
          <w:bCs/>
        </w:rPr>
        <w:t xml:space="preserve">LOPDGDD (Ley Orgánica 3/2018)</w:t>
      </w:r>
      <w:r>
        <w:t xml:space="preserve"> </w:t>
      </w:r>
      <w:r>
        <w:t xml:space="preserve">— desarrollo nacional español del RGPD; incluye los derechos digitales (arts. 79 y siguientes).</w:t>
      </w:r>
    </w:p>
    <w:p>
      <w:pPr>
        <w:pStyle w:val="Compact"/>
        <w:numPr>
          <w:ilvl w:val="0"/>
          <w:numId w:val="1001"/>
        </w:numPr>
      </w:pPr>
      <w:r>
        <w:rPr>
          <w:b/>
          <w:bCs/>
        </w:rPr>
        <w:t xml:space="preserve">Directiva ePrivacy (2002/58/CE)</w:t>
      </w:r>
      <w:r>
        <w:t xml:space="preserve"> </w:t>
      </w:r>
      <w:r>
        <w:t xml:space="preserve">y proyecto de Reglamento ePrivacy — cookies, comunicaciones electrónicas, notificaciones push.</w:t>
      </w:r>
    </w:p>
    <w:p>
      <w:pPr>
        <w:pStyle w:val="Compact"/>
        <w:numPr>
          <w:ilvl w:val="0"/>
          <w:numId w:val="1001"/>
        </w:numPr>
      </w:pPr>
      <w:r>
        <w:rPr>
          <w:b/>
          <w:bCs/>
        </w:rPr>
        <w:t xml:space="preserve">Guías de la AEPD</w:t>
      </w:r>
      <w:r>
        <w:t xml:space="preserve"> </w:t>
      </w:r>
      <w:r>
        <w:t xml:space="preserve">(Agencia Española de Protección de Datos): especialmente la guía sobre apps móviles, la guía sobre tratamiento de datos biométricos (2020 actualizada en 2024) y la guía sobre menores.</w:t>
      </w:r>
    </w:p>
    <w:bookmarkEnd w:id="10"/>
    <w:bookmarkStart w:id="11" w:name="inteligencia-artificial"/>
    <w:p>
      <w:pPr>
        <w:pStyle w:val="Heading2"/>
      </w:pPr>
      <w:r>
        <w:t xml:space="preserve">1.2 Inteligencia artificial</w:t>
      </w:r>
    </w:p>
    <w:p>
      <w:pPr>
        <w:pStyle w:val="Compact"/>
        <w:numPr>
          <w:ilvl w:val="0"/>
          <w:numId w:val="1002"/>
        </w:numPr>
      </w:pPr>
      <w:r>
        <w:rPr>
          <w:b/>
          <w:bCs/>
        </w:rPr>
        <w:t xml:space="preserve">Reglamento (UE) 2024/1689 — AI Act</w:t>
      </w:r>
      <w:r>
        <w:t xml:space="preserve">, en concreto:</w:t>
      </w:r>
    </w:p>
    <w:p>
      <w:pPr>
        <w:pStyle w:val="Compact"/>
        <w:numPr>
          <w:ilvl w:val="1"/>
          <w:numId w:val="1003"/>
        </w:numPr>
      </w:pPr>
      <w:r>
        <w:rPr>
          <w:b/>
          <w:bCs/>
        </w:rPr>
        <w:t xml:space="preserve">Artículo 5</w:t>
      </w:r>
      <w:r>
        <w:t xml:space="preserve">: prácticas prohibidas (categorización biométrica para inferir características sensibles, reconocimiento emocional en determinados contextos, scoring social).</w:t>
      </w:r>
    </w:p>
    <w:p>
      <w:pPr>
        <w:pStyle w:val="Compact"/>
        <w:numPr>
          <w:ilvl w:val="1"/>
          <w:numId w:val="1003"/>
        </w:numPr>
      </w:pPr>
      <w:r>
        <w:rPr>
          <w:b/>
          <w:bCs/>
        </w:rPr>
        <w:t xml:space="preserve">Artículo 50</w:t>
      </w:r>
      <w:r>
        <w:t xml:space="preserve">: obligaciones de transparencia para sistemas que interactúan con personas físicas (chatbots), contenido generado por IA y deepfakes.</w:t>
      </w:r>
    </w:p>
    <w:p>
      <w:pPr>
        <w:pStyle w:val="Compact"/>
        <w:numPr>
          <w:ilvl w:val="1"/>
          <w:numId w:val="1003"/>
        </w:numPr>
      </w:pPr>
      <w:r>
        <w:rPr>
          <w:b/>
          <w:bCs/>
        </w:rPr>
        <w:t xml:space="preserve">Artículo 22 RGPD</w:t>
      </w:r>
      <w:r>
        <w:t xml:space="preserve"> </w:t>
      </w:r>
      <w:r>
        <w:t xml:space="preserve">(conexión cruzada): derecho a no ser objeto de decisiones individuales automatizadas con efectos jurídicos.</w:t>
      </w:r>
    </w:p>
    <w:bookmarkEnd w:id="11"/>
    <w:bookmarkStart w:id="12" w:name="plataformas-digitales"/>
    <w:p>
      <w:pPr>
        <w:pStyle w:val="Heading2"/>
      </w:pPr>
      <w:r>
        <w:t xml:space="preserve">1.3 Plataformas digitales</w:t>
      </w:r>
    </w:p>
    <w:p>
      <w:pPr>
        <w:pStyle w:val="Compact"/>
        <w:numPr>
          <w:ilvl w:val="0"/>
          <w:numId w:val="1004"/>
        </w:numPr>
      </w:pPr>
      <w:r>
        <w:rPr>
          <w:b/>
          <w:bCs/>
        </w:rPr>
        <w:t xml:space="preserve">DSA (Reglamento (UE) 2022/2065)</w:t>
      </w:r>
      <w:r>
        <w:t xml:space="preserve">: notificación y retirada, transparencia algorítmica, protección de menores.</w:t>
      </w:r>
    </w:p>
    <w:p>
      <w:pPr>
        <w:pStyle w:val="Compact"/>
        <w:numPr>
          <w:ilvl w:val="0"/>
          <w:numId w:val="1004"/>
        </w:numPr>
      </w:pPr>
      <w:r>
        <w:rPr>
          <w:b/>
          <w:bCs/>
        </w:rPr>
        <w:t xml:space="preserve">DMA</w:t>
      </w:r>
      <w:r>
        <w:t xml:space="preserve">: no aplicable en nuestra escala actual, pero monitorizado.</w:t>
      </w:r>
    </w:p>
    <w:p>
      <w:r>
        <w:pict>
          <v:rect style="width:0;height:1.5pt" o:hralign="center" o:hrstd="t" o:hr="t"/>
        </w:pict>
      </w:r>
    </w:p>
    <w:bookmarkEnd w:id="12"/>
    <w:bookmarkEnd w:id="13"/>
    <w:bookmarkStart w:id="14" w:name="X63cb3cf85d27fd5bb69eac33fb77c28e1328302"/>
    <w:p>
      <w:pPr>
        <w:pStyle w:val="Heading1"/>
      </w:pPr>
      <w:r>
        <w:t xml:space="preserve">2. Resultado de la auditoría: puntuación final</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Eje</w:t>
            </w:r>
          </w:p>
        </w:tc>
        <w:tc>
          <w:tcPr/>
          <w:p>
            <w:pPr>
              <w:pStyle w:val="Compact"/>
            </w:pPr>
            <w:r>
              <w:t xml:space="preserve">Antes</w:t>
            </w:r>
          </w:p>
        </w:tc>
        <w:tc>
          <w:tcPr/>
          <w:p>
            <w:pPr>
              <w:pStyle w:val="Compact"/>
            </w:pPr>
            <w:r>
              <w:t xml:space="preserve">Ahora</w:t>
            </w:r>
          </w:p>
        </w:tc>
        <w:tc>
          <w:tcPr/>
          <w:p>
            <w:pPr>
              <w:pStyle w:val="Compact"/>
            </w:pPr>
            <w:r>
              <w:t xml:space="preserve">Comentario</w:t>
            </w:r>
          </w:p>
        </w:tc>
      </w:tr>
      <w:tr>
        <w:tc>
          <w:tcPr/>
          <w:p>
            <w:pPr>
              <w:pStyle w:val="Compact"/>
            </w:pPr>
            <w:r>
              <w:t xml:space="preserve">Cumplimiento RGPD</w:t>
            </w:r>
          </w:p>
        </w:tc>
        <w:tc>
          <w:tcPr/>
          <w:p>
            <w:pPr>
              <w:pStyle w:val="Compact"/>
            </w:pPr>
            <w:r>
              <w:t xml:space="preserve">4 / 10</w:t>
            </w:r>
          </w:p>
        </w:tc>
        <w:tc>
          <w:tcPr/>
          <w:p>
            <w:pPr>
              <w:pStyle w:val="Compact"/>
            </w:pPr>
            <w:r>
              <w:rPr>
                <w:b/>
                <w:bCs/>
              </w:rPr>
              <w:t xml:space="preserve">9 / 10</w:t>
            </w:r>
          </w:p>
        </w:tc>
        <w:tc>
          <w:tcPr/>
          <w:p>
            <w:pPr>
              <w:pStyle w:val="Compact"/>
            </w:pPr>
            <w:r>
              <w:t xml:space="preserve">Bases jurídicas correctas, derechos accesibles, retención corta.</w:t>
            </w:r>
          </w:p>
        </w:tc>
      </w:tr>
      <w:tr>
        <w:tc>
          <w:tcPr/>
          <w:p>
            <w:pPr>
              <w:pStyle w:val="Compact"/>
            </w:pPr>
            <w:r>
              <w:t xml:space="preserve">Riesgo AI Act</w:t>
            </w:r>
          </w:p>
        </w:tc>
        <w:tc>
          <w:tcPr/>
          <w:p>
            <w:pPr>
              <w:pStyle w:val="Compact"/>
            </w:pPr>
            <w:r>
              <w:t xml:space="preserve">8 / 10 (alto)</w:t>
            </w:r>
          </w:p>
        </w:tc>
        <w:tc>
          <w:tcPr/>
          <w:p>
            <w:pPr>
              <w:pStyle w:val="Compact"/>
            </w:pPr>
            <w:r>
              <w:rPr>
                <w:b/>
                <w:bCs/>
              </w:rPr>
              <w:t xml:space="preserve">2 / 10 (bajo)</w:t>
            </w:r>
          </w:p>
        </w:tc>
        <w:tc>
          <w:tcPr/>
          <w:p>
            <w:pPr>
              <w:pStyle w:val="Compact"/>
            </w:pPr>
            <w:r>
              <w:t xml:space="preserve">Eliminado el scoring biométrico y la inferencia de emociones.</w:t>
            </w:r>
          </w:p>
        </w:tc>
      </w:tr>
      <w:tr>
        <w:tc>
          <w:tcPr/>
          <w:p>
            <w:pPr>
              <w:pStyle w:val="Compact"/>
            </w:pPr>
            <w:r>
              <w:t xml:space="preserve">Riesgo biométrico</w:t>
            </w:r>
          </w:p>
        </w:tc>
        <w:tc>
          <w:tcPr/>
          <w:p>
            <w:pPr>
              <w:pStyle w:val="Compact"/>
            </w:pPr>
            <w:r>
              <w:t xml:space="preserve">9 / 10 (crítico)</w:t>
            </w:r>
          </w:p>
        </w:tc>
        <w:tc>
          <w:tcPr/>
          <w:p>
            <w:pPr>
              <w:pStyle w:val="Compact"/>
            </w:pPr>
            <w:r>
              <w:rPr>
                <w:b/>
                <w:bCs/>
              </w:rPr>
              <w:t xml:space="preserve">1 / 10</w:t>
            </w:r>
          </w:p>
        </w:tc>
        <w:tc>
          <w:tcPr/>
          <w:p>
            <w:pPr>
              <w:pStyle w:val="Compact"/>
            </w:pPr>
            <w:r>
              <w:t xml:space="preserve">No se procesan rasgos faciales para inferencia de personalidad.</w:t>
            </w:r>
          </w:p>
        </w:tc>
      </w:tr>
      <w:tr>
        <w:tc>
          <w:tcPr/>
          <w:p>
            <w:pPr>
              <w:pStyle w:val="Compact"/>
            </w:pPr>
            <w:r>
              <w:t xml:space="preserve">Preparación legal UE</w:t>
            </w:r>
          </w:p>
        </w:tc>
        <w:tc>
          <w:tcPr/>
          <w:p>
            <w:pPr>
              <w:pStyle w:val="Compact"/>
            </w:pPr>
            <w:r>
              <w:t xml:space="preserve">3 / 10</w:t>
            </w:r>
          </w:p>
        </w:tc>
        <w:tc>
          <w:tcPr/>
          <w:p>
            <w:pPr>
              <w:pStyle w:val="Compact"/>
            </w:pPr>
            <w:r>
              <w:rPr>
                <w:b/>
                <w:bCs/>
              </w:rPr>
              <w:t xml:space="preserve">9 / 10</w:t>
            </w:r>
          </w:p>
        </w:tc>
        <w:tc>
          <w:tcPr/>
          <w:p>
            <w:pPr>
              <w:pStyle w:val="Compact"/>
            </w:pPr>
            <w:r>
              <w:t xml:space="preserve">DPO designado, registro de actividades, AIPD documentada.</w:t>
            </w:r>
          </w:p>
        </w:tc>
      </w:tr>
    </w:tbl>
    <w:p>
      <w:pPr>
        <w:pStyle w:val="BodyText"/>
      </w:pPr>
      <w:r>
        <w:t xml:space="preserve">Los puntos no cerrados (que justifican no llegar a 10/10) son contractuales y organizativos —no técnicos— y están planificados: nombramiento formal de representante en la UE si en algún momento se traslada la entidad, contratación del DPO externo certificado y formalización de DPA con todos los encargados.</w:t>
      </w:r>
    </w:p>
    <w:p>
      <w:r>
        <w:pict>
          <v:rect style="width:0;height:1.5pt" o:hralign="center" o:hrstd="t" o:hr="t"/>
        </w:pict>
      </w:r>
    </w:p>
    <w:bookmarkEnd w:id="14"/>
    <w:bookmarkStart w:id="39" w:name="cambios-implementados-bloque-a-bloque"/>
    <w:p>
      <w:pPr>
        <w:pStyle w:val="Heading1"/>
      </w:pPr>
      <w:r>
        <w:t xml:space="preserve">3. Cambios implementados — bloque a bloque</w:t>
      </w:r>
    </w:p>
    <w:bookmarkStart w:id="18" w:name="Xa12e89ab10f300542f3e29c853b74dc5f7cdc09"/>
    <w:p>
      <w:pPr>
        <w:pStyle w:val="Heading2"/>
      </w:pPr>
      <w:r>
        <w:t xml:space="preserve">3.1 Bloque 1 — Eliminación del scoring biométrico facial (AI Act Art. 5)</w:t>
      </w:r>
    </w:p>
    <w:bookmarkStart w:id="15" w:name="riesgo-previo"/>
    <w:p>
      <w:pPr>
        <w:pStyle w:val="Heading3"/>
      </w:pPr>
      <w:r>
        <w:t xml:space="preserve">Riesgo previo</w:t>
      </w:r>
    </w:p>
    <w:p>
      <w:pPr>
        <w:pStyle w:val="FirstParagraph"/>
      </w:pPr>
      <w:r>
        <w:t xml:space="preserve">El pipeline de vídeo (</w:t>
      </w:r>
      <w:r>
        <w:rPr>
          <w:rStyle w:val="VerbatimChar"/>
        </w:rPr>
        <w:t xml:space="preserve">video-pipeline</w:t>
      </w:r>
      <w:r>
        <w:t xml:space="preserve"> </w:t>
      </w:r>
      <w:r>
        <w:t xml:space="preserve">y</w:t>
      </w:r>
      <w:r>
        <w:t xml:space="preserve"> </w:t>
      </w:r>
      <w:r>
        <w:rPr>
          <w:rStyle w:val="VerbatimChar"/>
        </w:rPr>
        <w:t xml:space="preserve">analyzeProfileVideo</w:t>
      </w:r>
      <w:r>
        <w:t xml:space="preserve">) inferían dos puntuaciones derivadas del análisis del rostro del usuario:</w:t>
      </w:r>
    </w:p>
    <w:p>
      <w:pPr>
        <w:pStyle w:val="Compact"/>
        <w:numPr>
          <w:ilvl w:val="0"/>
          <w:numId w:val="1005"/>
        </w:numPr>
      </w:pPr>
      <w:r>
        <w:rPr>
          <w:rStyle w:val="VerbatimChar"/>
        </w:rPr>
        <w:t xml:space="preserve">confidence_score</w:t>
      </w:r>
      <w:r>
        <w:t xml:space="preserve"> </w:t>
      </w:r>
      <w:r>
        <w:t xml:space="preserve">(puntuación de</w:t>
      </w:r>
      <w:r>
        <w:t xml:space="preserve"> </w:t>
      </w:r>
      <w:r>
        <w:t xml:space="preserve">“confianza”</w:t>
      </w:r>
      <w:r>
        <w:t xml:space="preserve"> </w:t>
      </w:r>
      <w:r>
        <w:t xml:space="preserve">basada en expresión facial).</w:t>
      </w:r>
    </w:p>
    <w:p>
      <w:pPr>
        <w:pStyle w:val="Compact"/>
        <w:numPr>
          <w:ilvl w:val="0"/>
          <w:numId w:val="1005"/>
        </w:numPr>
      </w:pPr>
      <w:r>
        <w:rPr>
          <w:rStyle w:val="VerbatimChar"/>
        </w:rPr>
        <w:t xml:space="preserve">friendliness_score</w:t>
      </w:r>
      <w:r>
        <w:t xml:space="preserve"> </w:t>
      </w:r>
      <w:r>
        <w:t xml:space="preserve">(puntuación de</w:t>
      </w:r>
      <w:r>
        <w:t xml:space="preserve"> </w:t>
      </w:r>
      <w:r>
        <w:t xml:space="preserve">“amabilidad”</w:t>
      </w:r>
      <w:r>
        <w:t xml:space="preserve"> </w:t>
      </w:r>
      <w:r>
        <w:t xml:space="preserve">basada en sonrisa, mirada y micro-expresiones).</w:t>
      </w:r>
    </w:p>
    <w:p>
      <w:pPr>
        <w:pStyle w:val="FirstParagraph"/>
      </w:pPr>
      <w:r>
        <w:t xml:space="preserve">Estos valores constituyen</w:t>
      </w:r>
      <w:r>
        <w:t xml:space="preserve"> </w:t>
      </w:r>
      <w:r>
        <w:rPr>
          <w:b/>
          <w:bCs/>
        </w:rPr>
        <w:t xml:space="preserve">categorización biométrica</w:t>
      </w:r>
      <w:r>
        <w:t xml:space="preserve"> </w:t>
      </w:r>
      <w:r>
        <w:t xml:space="preserve">e</w:t>
      </w:r>
      <w:r>
        <w:t xml:space="preserve"> </w:t>
      </w:r>
      <w:r>
        <w:rPr>
          <w:b/>
          <w:bCs/>
        </w:rPr>
        <w:t xml:space="preserve">inferencia de emociones</w:t>
      </w:r>
      <w:r>
        <w:t xml:space="preserve">, ambas prácticas expresamente prohibidas por el artículo 5 del AI Act cuando se aplican a personas físicas en contextos comerciales sin justificación médica o de seguridad.</w:t>
      </w:r>
    </w:p>
    <w:bookmarkEnd w:id="15"/>
    <w:bookmarkStart w:id="16" w:name="acción-correctiva"/>
    <w:p>
      <w:pPr>
        <w:pStyle w:val="Heading3"/>
      </w:pPr>
      <w:r>
        <w:t xml:space="preserve">Acción correctiva</w:t>
      </w:r>
    </w:p>
    <w:p>
      <w:pPr>
        <w:pStyle w:val="Compact"/>
        <w:numPr>
          <w:ilvl w:val="0"/>
          <w:numId w:val="1006"/>
        </w:numPr>
      </w:pPr>
      <w:r>
        <w:rPr>
          <w:b/>
          <w:bCs/>
        </w:rPr>
        <w:t xml:space="preserve">Prompts reescritos</w:t>
      </w:r>
      <w:r>
        <w:t xml:space="preserve"> </w:t>
      </w:r>
      <w:r>
        <w:t xml:space="preserve">en</w:t>
      </w:r>
      <w:r>
        <w:t xml:space="preserve"> </w:t>
      </w:r>
      <w:r>
        <w:rPr>
          <w:rStyle w:val="VerbatimChar"/>
        </w:rPr>
        <w:t xml:space="preserve">src/server/video-analysis.functions.ts</w:t>
      </w:r>
      <w:r>
        <w:t xml:space="preserve"> </w:t>
      </w:r>
      <w:r>
        <w:t xml:space="preserve">y</w:t>
      </w:r>
      <w:r>
        <w:t xml:space="preserve"> </w:t>
      </w:r>
      <w:r>
        <w:rPr>
          <w:rStyle w:val="VerbatimChar"/>
        </w:rPr>
        <w:t xml:space="preserve">supabase/functions/video-pipeline/index.ts</w:t>
      </w:r>
      <w:r>
        <w:t xml:space="preserve"> </w:t>
      </w:r>
      <w:r>
        <w:t xml:space="preserve">para prohibir explícitamente al modelo de IA cualquier inferencia sobre el rostro, identidad, estado emocional o características personales del usuario.</w:t>
      </w:r>
    </w:p>
    <w:p>
      <w:pPr>
        <w:pStyle w:val="Compact"/>
        <w:numPr>
          <w:ilvl w:val="0"/>
          <w:numId w:val="1006"/>
        </w:numPr>
      </w:pPr>
      <w:r>
        <w:rPr>
          <w:b/>
          <w:bCs/>
        </w:rPr>
        <w:t xml:space="preserve">Eliminación funcional</w:t>
      </w:r>
      <w:r>
        <w:t xml:space="preserve"> </w:t>
      </w:r>
      <w:r>
        <w:t xml:space="preserve">de los campos</w:t>
      </w:r>
      <w:r>
        <w:t xml:space="preserve"> </w:t>
      </w:r>
      <w:r>
        <w:rPr>
          <w:rStyle w:val="VerbatimChar"/>
        </w:rPr>
        <w:t xml:space="preserve">confidence_score</w:t>
      </w:r>
      <w:r>
        <w:t xml:space="preserve"> </w:t>
      </w:r>
      <w:r>
        <w:t xml:space="preserve">y</w:t>
      </w:r>
      <w:r>
        <w:t xml:space="preserve"> </w:t>
      </w:r>
      <w:r>
        <w:rPr>
          <w:rStyle w:val="VerbatimChar"/>
        </w:rPr>
        <w:t xml:space="preserve">friendliness_score</w:t>
      </w:r>
      <w:r>
        <w:t xml:space="preserve"> </w:t>
      </w:r>
      <w:r>
        <w:t xml:space="preserve">del shape devuelto por el pipeline.</w:t>
      </w:r>
    </w:p>
    <w:p>
      <w:pPr>
        <w:pStyle w:val="Compact"/>
        <w:numPr>
          <w:ilvl w:val="0"/>
          <w:numId w:val="1006"/>
        </w:numPr>
      </w:pPr>
      <w:r>
        <w:rPr>
          <w:b/>
          <w:bCs/>
        </w:rPr>
        <w:t xml:space="preserve">Trigger SQL</w:t>
      </w:r>
      <w:r>
        <w:t xml:space="preserve"> </w:t>
      </w:r>
      <w:r>
        <w:rPr>
          <w:rStyle w:val="VerbatimChar"/>
        </w:rPr>
        <w:t xml:space="preserve">trg_block_biometric_scores_profiles</w:t>
      </w:r>
      <w:r>
        <w:t xml:space="preserve"> </w:t>
      </w:r>
      <w:r>
        <w:t xml:space="preserve">que fuerza</w:t>
      </w:r>
      <w:r>
        <w:t xml:space="preserve"> </w:t>
      </w:r>
      <w:r>
        <w:rPr>
          <w:rStyle w:val="VerbatimChar"/>
        </w:rPr>
        <w:t xml:space="preserve">NULL</w:t>
      </w:r>
      <w:r>
        <w:t xml:space="preserve"> </w:t>
      </w:r>
      <w:r>
        <w:t xml:space="preserve">en estas columnas en cualquier</w:t>
      </w:r>
      <w:r>
        <w:t xml:space="preserve"> </w:t>
      </w:r>
      <w:r>
        <w:rPr>
          <w:rStyle w:val="VerbatimChar"/>
        </w:rPr>
        <w:t xml:space="preserve">INSERT</w:t>
      </w:r>
      <w:r>
        <w:t xml:space="preserve"> </w:t>
      </w:r>
      <w:r>
        <w:t xml:space="preserve">o</w:t>
      </w:r>
      <w:r>
        <w:t xml:space="preserve"> </w:t>
      </w:r>
      <w:r>
        <w:rPr>
          <w:rStyle w:val="VerbatimChar"/>
        </w:rPr>
        <w:t xml:space="preserve">UPDATE</w:t>
      </w:r>
      <w:r>
        <w:t xml:space="preserve">, garantizando que ningún proceso pueda volver a escribir valores biométricos —ni siquiera por error o regresión—.</w:t>
      </w:r>
    </w:p>
    <w:p>
      <w:pPr>
        <w:pStyle w:val="Compact"/>
        <w:numPr>
          <w:ilvl w:val="0"/>
          <w:numId w:val="1006"/>
        </w:numPr>
      </w:pPr>
      <w:r>
        <w:rPr>
          <w:b/>
          <w:bCs/>
        </w:rPr>
        <w:t xml:space="preserve">Conservación únicamente</w:t>
      </w:r>
      <w:r>
        <w:t xml:space="preserve"> </w:t>
      </w:r>
      <w:r>
        <w:t xml:space="preserve">de métricas no biométricas:</w:t>
      </w:r>
      <w:r>
        <w:t xml:space="preserve"> </w:t>
      </w:r>
      <w:r>
        <w:rPr>
          <w:rStyle w:val="VerbatimChar"/>
        </w:rPr>
        <w:t xml:space="preserve">energy_score</w:t>
      </w:r>
      <w:r>
        <w:t xml:space="preserve"> </w:t>
      </w:r>
      <w:r>
        <w:t xml:space="preserve">(calidad técnica del vídeo, movimiento, estabilidad) y</w:t>
      </w:r>
      <w:r>
        <w:t xml:space="preserve"> </w:t>
      </w:r>
      <w:r>
        <w:rPr>
          <w:rStyle w:val="VerbatimChar"/>
        </w:rPr>
        <w:t xml:space="preserve">engagement_score</w:t>
      </w:r>
      <w:r>
        <w:t xml:space="preserve"> </w:t>
      </w:r>
      <w:r>
        <w:t xml:space="preserve">(calidad del contenido, no del rostro).</w:t>
      </w:r>
    </w:p>
    <w:bookmarkEnd w:id="16"/>
    <w:bookmarkStart w:id="17" w:name="resultado"/>
    <w:p>
      <w:pPr>
        <w:pStyle w:val="Heading3"/>
      </w:pPr>
      <w:r>
        <w:t xml:space="preserve">Resultado</w:t>
      </w:r>
    </w:p>
    <w:p>
      <w:pPr>
        <w:pStyle w:val="FirstParagraph"/>
      </w:pPr>
      <w:r>
        <w:t xml:space="preserve">Cero datos biométricos inferidos almacenados o procesados. Riesgo de práctica prohibida eliminado.</w:t>
      </w:r>
    </w:p>
    <w:p>
      <w:r>
        <w:pict>
          <v:rect style="width:0;height:1.5pt" o:hralign="center" o:hrstd="t" o:hr="t"/>
        </w:pict>
      </w:r>
    </w:p>
    <w:bookmarkEnd w:id="17"/>
    <w:bookmarkEnd w:id="18"/>
    <w:bookmarkStart w:id="22" w:name="X86d96ccaec801e43ed63aff8dee6674b7f2c250"/>
    <w:p>
      <w:pPr>
        <w:pStyle w:val="Heading2"/>
      </w:pPr>
      <w:r>
        <w:t xml:space="preserve">3.2 Bloque 2 — Verificación humana obligatoria en VAR (RGPD Art. 22)</w:t>
      </w:r>
    </w:p>
    <w:bookmarkStart w:id="19" w:name="riesgo-previo-1"/>
    <w:p>
      <w:pPr>
        <w:pStyle w:val="Heading3"/>
      </w:pPr>
      <w:r>
        <w:t xml:space="preserve">Riesgo previo</w:t>
      </w:r>
    </w:p>
    <w:p>
      <w:pPr>
        <w:pStyle w:val="FirstParagraph"/>
      </w:pPr>
      <w:r>
        <w:t xml:space="preserve">El sistema VAR (Visual Authenticity Review) emitía decisiones automatizadas sobre la autenticidad de un usuario (aprobado / rechazado / sospechoso de fake) sin intervención humana, lo cual contraviene el artículo 22 del RGPD cuando la decisión produce efectos significativos para el interesado —en este caso, ser etiquetado como falso o ser excluido de la plataforma—.</w:t>
      </w:r>
    </w:p>
    <w:bookmarkEnd w:id="19"/>
    <w:bookmarkStart w:id="20" w:name="acción-correctiva-1"/>
    <w:p>
      <w:pPr>
        <w:pStyle w:val="Heading3"/>
      </w:pPr>
      <w:r>
        <w:t xml:space="preserve">Acción correctiva</w:t>
      </w:r>
    </w:p>
    <w:p>
      <w:pPr>
        <w:pStyle w:val="Compact"/>
        <w:numPr>
          <w:ilvl w:val="0"/>
          <w:numId w:val="1007"/>
        </w:numPr>
      </w:pPr>
      <w:r>
        <w:rPr>
          <w:b/>
          <w:bCs/>
        </w:rPr>
        <w:t xml:space="preserve">Refactor de</w:t>
      </w:r>
      <w:r>
        <w:rPr>
          <w:b/>
          <w:bCs/>
        </w:rPr>
        <w:t xml:space="preserve"> </w:t>
      </w:r>
      <w:r>
        <w:rPr>
          <w:rStyle w:val="VerbatimChar"/>
          <w:b/>
          <w:bCs/>
        </w:rPr>
        <w:t xml:space="preserve">var-authenticity.server.ts</w:t>
      </w:r>
      <w:r>
        <w:t xml:space="preserve">: cualquier señal automática producida por el motor de autenticidad se marca como</w:t>
      </w:r>
      <w:r>
        <w:t xml:space="preserve"> </w:t>
      </w:r>
      <w:r>
        <w:rPr>
          <w:rStyle w:val="VerbatimChar"/>
        </w:rPr>
        <w:t xml:space="preserve">advisoryOnly: true</w:t>
      </w:r>
      <w:r>
        <w:t xml:space="preserve"> </w:t>
      </w:r>
      <w:r>
        <w:t xml:space="preserve">y queda en estado</w:t>
      </w:r>
      <w:r>
        <w:t xml:space="preserve"> </w:t>
      </w:r>
      <w:r>
        <w:rPr>
          <w:rStyle w:val="VerbatimChar"/>
        </w:rPr>
        <w:t xml:space="preserve">pending_review</w:t>
      </w:r>
      <w:r>
        <w:t xml:space="preserve">. No se asigna automáticamente ninguna insignia de verificación.</w:t>
      </w:r>
    </w:p>
    <w:p>
      <w:pPr>
        <w:pStyle w:val="Compact"/>
        <w:numPr>
          <w:ilvl w:val="0"/>
          <w:numId w:val="1007"/>
        </w:numPr>
      </w:pPr>
      <w:r>
        <w:rPr>
          <w:b/>
          <w:bCs/>
        </w:rPr>
        <w:t xml:space="preserve">Refactor de</w:t>
      </w:r>
      <w:r>
        <w:rPr>
          <w:b/>
          <w:bCs/>
        </w:rPr>
        <w:t xml:space="preserve"> </w:t>
      </w:r>
      <w:r>
        <w:rPr>
          <w:rStyle w:val="VerbatimChar"/>
          <w:b/>
          <w:bCs/>
        </w:rPr>
        <w:t xml:space="preserve">var-authenticity.functions.ts</w:t>
      </w:r>
      <w:r>
        <w:t xml:space="preserve">: la función</w:t>
      </w:r>
      <w:r>
        <w:t xml:space="preserve"> </w:t>
      </w:r>
      <w:r>
        <w:rPr>
          <w:rStyle w:val="VerbatimChar"/>
        </w:rPr>
        <w:t xml:space="preserve">requestVarBadge</w:t>
      </w:r>
      <w:r>
        <w:t xml:space="preserve"> </w:t>
      </w:r>
      <w:r>
        <w:t xml:space="preserve">coloca al perfil en una cola de revisión humana en lugar de aprobar o rechazar automáticamente.</w:t>
      </w:r>
    </w:p>
    <w:p>
      <w:pPr>
        <w:pStyle w:val="Compact"/>
        <w:numPr>
          <w:ilvl w:val="0"/>
          <w:numId w:val="1007"/>
        </w:numPr>
      </w:pPr>
      <w:r>
        <w:rPr>
          <w:b/>
          <w:bCs/>
        </w:rPr>
        <w:t xml:space="preserve">UI administrativa</w:t>
      </w:r>
      <w:r>
        <w:t xml:space="preserve"> </w:t>
      </w:r>
      <w:r>
        <w:t xml:space="preserve">(</w:t>
      </w:r>
      <w:r>
        <w:rPr>
          <w:rStyle w:val="VerbatimChar"/>
        </w:rPr>
        <w:t xml:space="preserve">admin.var-review.tsx</w:t>
      </w:r>
      <w:r>
        <w:t xml:space="preserve">): el administrador debe confirmar de forma explícita y consciente la aprobación o rechazo.</w:t>
      </w:r>
    </w:p>
    <w:p>
      <w:pPr>
        <w:pStyle w:val="Compact"/>
        <w:numPr>
          <w:ilvl w:val="0"/>
          <w:numId w:val="1007"/>
        </w:numPr>
      </w:pPr>
      <w:r>
        <w:t xml:space="preserve">Conservación de la trazabilidad: cada decisión queda registrada con</w:t>
      </w:r>
      <w:r>
        <w:t xml:space="preserve"> </w:t>
      </w:r>
      <w:r>
        <w:rPr>
          <w:rStyle w:val="VerbatimChar"/>
        </w:rPr>
        <w:t xml:space="preserve">human_reviewer_id</w:t>
      </w:r>
      <w:r>
        <w:t xml:space="preserve"> </w:t>
      </w:r>
      <w:r>
        <w:t xml:space="preserve">y</w:t>
      </w:r>
      <w:r>
        <w:t xml:space="preserve"> </w:t>
      </w:r>
      <w:r>
        <w:rPr>
          <w:rStyle w:val="VerbatimChar"/>
        </w:rPr>
        <w:t xml:space="preserve">human_reviewed_at</w:t>
      </w:r>
      <w:r>
        <w:t xml:space="preserve"> </w:t>
      </w:r>
      <w:r>
        <w:t xml:space="preserve">para fines de auditoría.</w:t>
      </w:r>
    </w:p>
    <w:bookmarkEnd w:id="20"/>
    <w:bookmarkStart w:id="21" w:name="resultado-1"/>
    <w:p>
      <w:pPr>
        <w:pStyle w:val="Heading3"/>
      </w:pPr>
      <w:r>
        <w:t xml:space="preserve">Resultado</w:t>
      </w:r>
    </w:p>
    <w:p>
      <w:pPr>
        <w:pStyle w:val="FirstParagraph"/>
      </w:pPr>
      <w:r>
        <w:t xml:space="preserve">Toda decisión de verificación con efectos para el usuario pasa por un humano. Cumplimiento del artículo 22 RGPD.</w:t>
      </w:r>
    </w:p>
    <w:p>
      <w:r>
        <w:pict>
          <v:rect style="width:0;height:1.5pt" o:hralign="center" o:hrstd="t" o:hr="t"/>
        </w:pict>
      </w:r>
    </w:p>
    <w:bookmarkEnd w:id="21"/>
    <w:bookmarkEnd w:id="22"/>
    <w:bookmarkStart w:id="26" w:name="X38fdf059345eb19e349628a2d07b60a097443f1"/>
    <w:p>
      <w:pPr>
        <w:pStyle w:val="Heading2"/>
      </w:pPr>
      <w:r>
        <w:t xml:space="preserve">3.3 Bloque 3 — Retención corta de datos sensibles (RGPD Art. 5.1.e)</w:t>
      </w:r>
    </w:p>
    <w:bookmarkStart w:id="23" w:name="riesgo-previo-2"/>
    <w:p>
      <w:pPr>
        <w:pStyle w:val="Heading3"/>
      </w:pPr>
      <w:r>
        <w:t xml:space="preserve">Riesgo previo</w:t>
      </w:r>
    </w:p>
    <w:p>
      <w:pPr>
        <w:pStyle w:val="FirstParagraph"/>
      </w:pPr>
      <w:r>
        <w:t xml:space="preserve">Las selfies, los documentos de identidad y los vídeos de revisión VAR se conservaban indefinidamente en los buckets</w:t>
      </w:r>
      <w:r>
        <w:t xml:space="preserve"> </w:t>
      </w:r>
      <w:r>
        <w:rPr>
          <w:rStyle w:val="VerbatimChar"/>
        </w:rPr>
        <w:t xml:space="preserve">selfies</w:t>
      </w:r>
      <w:r>
        <w:t xml:space="preserve">,</w:t>
      </w:r>
      <w:r>
        <w:t xml:space="preserve"> </w:t>
      </w:r>
      <w:r>
        <w:rPr>
          <w:rStyle w:val="VerbatimChar"/>
        </w:rPr>
        <w:t xml:space="preserve">id-documents</w:t>
      </w:r>
      <w:r>
        <w:t xml:space="preserve"> </w:t>
      </w:r>
      <w:r>
        <w:t xml:space="preserve">y</w:t>
      </w:r>
      <w:r>
        <w:t xml:space="preserve"> </w:t>
      </w:r>
      <w:r>
        <w:rPr>
          <w:rStyle w:val="VerbatimChar"/>
        </w:rPr>
        <w:t xml:space="preserve">videos</w:t>
      </w:r>
      <w:r>
        <w:t xml:space="preserve">, violando el principio de</w:t>
      </w:r>
      <w:r>
        <w:t xml:space="preserve"> </w:t>
      </w:r>
      <w:r>
        <w:rPr>
          <w:b/>
          <w:bCs/>
        </w:rPr>
        <w:t xml:space="preserve">limitación del plazo de conservación</w:t>
      </w:r>
      <w:r>
        <w:t xml:space="preserve">.</w:t>
      </w:r>
    </w:p>
    <w:bookmarkEnd w:id="23"/>
    <w:bookmarkStart w:id="24" w:name="acción-correctiva-2"/>
    <w:p>
      <w:pPr>
        <w:pStyle w:val="Heading3"/>
      </w:pPr>
      <w:r>
        <w:t xml:space="preserve">Acción correctiva</w:t>
      </w:r>
    </w:p>
    <w:p>
      <w:pPr>
        <w:pStyle w:val="Compact"/>
        <w:numPr>
          <w:ilvl w:val="0"/>
          <w:numId w:val="1008"/>
        </w:numPr>
      </w:pPr>
      <w:r>
        <w:rPr>
          <w:b/>
          <w:bCs/>
        </w:rPr>
        <w:t xml:space="preserve">Función SQL</w:t>
      </w:r>
      <w:r>
        <w:rPr>
          <w:b/>
          <w:bCs/>
        </w:rPr>
        <w:t xml:space="preserve"> </w:t>
      </w:r>
      <w:r>
        <w:rPr>
          <w:rStyle w:val="VerbatimChar"/>
          <w:b/>
          <w:bCs/>
        </w:rPr>
        <w:t xml:space="preserve">cleanup_expired_data()</w:t>
      </w:r>
      <w:r>
        <w:t xml:space="preserve"> </w:t>
      </w:r>
      <w:r>
        <w:t xml:space="preserve">ampliada para purgar automáticamente:</w:t>
      </w:r>
    </w:p>
    <w:p>
      <w:pPr>
        <w:pStyle w:val="Compact"/>
        <w:numPr>
          <w:ilvl w:val="1"/>
          <w:numId w:val="1009"/>
        </w:numPr>
      </w:pPr>
      <w:r>
        <w:t xml:space="preserve">Rutas (</w:t>
      </w:r>
      <w:r>
        <w:rPr>
          <w:rStyle w:val="VerbatimChar"/>
        </w:rPr>
        <w:t xml:space="preserve">document_front_path</w:t>
      </w:r>
      <w:r>
        <w:t xml:space="preserve">,</w:t>
      </w:r>
      <w:r>
        <w:t xml:space="preserve"> </w:t>
      </w:r>
      <w:r>
        <w:rPr>
          <w:rStyle w:val="VerbatimChar"/>
        </w:rPr>
        <w:t xml:space="preserve">document_back_path</w:t>
      </w:r>
      <w:r>
        <w:t xml:space="preserve">,</w:t>
      </w:r>
      <w:r>
        <w:t xml:space="preserve"> </w:t>
      </w:r>
      <w:r>
        <w:rPr>
          <w:rStyle w:val="VerbatimChar"/>
        </w:rPr>
        <w:t xml:space="preserve">selfie_with_id_path</w:t>
      </w:r>
      <w:r>
        <w:t xml:space="preserve">) y datos extraídos (</w:t>
      </w:r>
      <w:r>
        <w:rPr>
          <w:rStyle w:val="VerbatimChar"/>
        </w:rPr>
        <w:t xml:space="preserve">extracted_data</w:t>
      </w:r>
      <w:r>
        <w:t xml:space="preserve">) de</w:t>
      </w:r>
      <w:r>
        <w:t xml:space="preserve"> </w:t>
      </w:r>
      <w:r>
        <w:rPr>
          <w:rStyle w:val="VerbatimChar"/>
        </w:rPr>
        <w:t xml:space="preserve">id_verifications</w:t>
      </w:r>
      <w:r>
        <w:t xml:space="preserve"> </w:t>
      </w:r>
      <w:r>
        <w:rPr>
          <w:b/>
          <w:bCs/>
        </w:rPr>
        <w:t xml:space="preserve">a los 7 días</w:t>
      </w:r>
      <w:r>
        <w:t xml:space="preserve"> </w:t>
      </w:r>
      <w:r>
        <w:t xml:space="preserve">de la revisión.</w:t>
      </w:r>
    </w:p>
    <w:p>
      <w:pPr>
        <w:pStyle w:val="Compact"/>
        <w:numPr>
          <w:ilvl w:val="1"/>
          <w:numId w:val="1009"/>
        </w:numPr>
      </w:pPr>
      <w:r>
        <w:t xml:space="preserve">Rutas (</w:t>
      </w:r>
      <w:r>
        <w:rPr>
          <w:rStyle w:val="VerbatimChar"/>
        </w:rPr>
        <w:t xml:space="preserve">selfie_path</w:t>
      </w:r>
      <w:r>
        <w:t xml:space="preserve">,</w:t>
      </w:r>
      <w:r>
        <w:t xml:space="preserve"> </w:t>
      </w:r>
      <w:r>
        <w:rPr>
          <w:rStyle w:val="VerbatimChar"/>
        </w:rPr>
        <w:t xml:space="preserve">video_path</w:t>
      </w:r>
      <w:r>
        <w:t xml:space="preserve">) y respuesta cruda de la IA (</w:t>
      </w:r>
      <w:r>
        <w:rPr>
          <w:rStyle w:val="VerbatimChar"/>
        </w:rPr>
        <w:t xml:space="preserve">ai_raw_response</w:t>
      </w:r>
      <w:r>
        <w:t xml:space="preserve">) de</w:t>
      </w:r>
      <w:r>
        <w:t xml:space="preserve"> </w:t>
      </w:r>
      <w:r>
        <w:rPr>
          <w:rStyle w:val="VerbatimChar"/>
        </w:rPr>
        <w:t xml:space="preserve">var_reviews</w:t>
      </w:r>
      <w:r>
        <w:t xml:space="preserve"> </w:t>
      </w:r>
      <w:r>
        <w:rPr>
          <w:b/>
          <w:bCs/>
        </w:rPr>
        <w:t xml:space="preserve">a los 7 días</w:t>
      </w:r>
      <w:r>
        <w:t xml:space="preserve"> </w:t>
      </w:r>
      <w:r>
        <w:t xml:space="preserve">del estado final.</w:t>
      </w:r>
    </w:p>
    <w:p>
      <w:pPr>
        <w:pStyle w:val="Compact"/>
        <w:numPr>
          <w:ilvl w:val="0"/>
          <w:numId w:val="1008"/>
        </w:numPr>
      </w:pPr>
      <w:r>
        <w:rPr>
          <w:b/>
          <w:bCs/>
        </w:rPr>
        <w:t xml:space="preserve">Conservación únicamente</w:t>
      </w:r>
      <w:r>
        <w:t xml:space="preserve"> </w:t>
      </w:r>
      <w:r>
        <w:t xml:space="preserve">del resultado binario (verificado / no verificado) y el hash, suficientes para la trazabilidad legal sin retener el dato sensible.</w:t>
      </w:r>
    </w:p>
    <w:p>
      <w:pPr>
        <w:pStyle w:val="Compact"/>
        <w:numPr>
          <w:ilvl w:val="0"/>
          <w:numId w:val="1008"/>
        </w:numPr>
      </w:pPr>
      <w:r>
        <w:rPr>
          <w:b/>
          <w:bCs/>
        </w:rPr>
        <w:t xml:space="preserve">Registro automático</w:t>
      </w:r>
      <w:r>
        <w:t xml:space="preserve"> </w:t>
      </w:r>
      <w:r>
        <w:t xml:space="preserve">en</w:t>
      </w:r>
      <w:r>
        <w:t xml:space="preserve"> </w:t>
      </w:r>
      <w:r>
        <w:rPr>
          <w:rStyle w:val="VerbatimChar"/>
        </w:rPr>
        <w:t xml:space="preserve">privacy_audit_log</w:t>
      </w:r>
      <w:r>
        <w:t xml:space="preserve"> </w:t>
      </w:r>
      <w:r>
        <w:t xml:space="preserve">de cada ejecución del cleanup, permitiendo demostrar la diligencia en la limitación del plazo.</w:t>
      </w:r>
    </w:p>
    <w:p>
      <w:pPr>
        <w:pStyle w:val="Compact"/>
        <w:numPr>
          <w:ilvl w:val="0"/>
          <w:numId w:val="1008"/>
        </w:numPr>
      </w:pPr>
      <w:r>
        <w:rPr>
          <w:b/>
          <w:bCs/>
        </w:rPr>
        <w:t xml:space="preserve">Cron job</w:t>
      </w:r>
      <w:r>
        <w:t xml:space="preserve"> </w:t>
      </w:r>
      <w:r>
        <w:t xml:space="preserve">ejecutándose diariamente vía</w:t>
      </w:r>
      <w:r>
        <w:t xml:space="preserve"> </w:t>
      </w:r>
      <w:r>
        <w:rPr>
          <w:rStyle w:val="VerbatimChar"/>
        </w:rPr>
        <w:t xml:space="preserve">/api/public/hooks/cleanup</w:t>
      </w:r>
      <w:r>
        <w:t xml:space="preserve"> </w:t>
      </w:r>
      <w:r>
        <w:t xml:space="preserve">con</w:t>
      </w:r>
      <w:r>
        <w:t xml:space="preserve"> </w:t>
      </w:r>
      <w:r>
        <w:rPr>
          <w:rStyle w:val="VerbatimChar"/>
        </w:rPr>
        <w:t xml:space="preserve">service_role</w:t>
      </w:r>
      <w:r>
        <w:t xml:space="preserve">.</w:t>
      </w:r>
    </w:p>
    <w:bookmarkEnd w:id="24"/>
    <w:bookmarkStart w:id="25" w:name="resultado-2"/>
    <w:p>
      <w:pPr>
        <w:pStyle w:val="Heading3"/>
      </w:pPr>
      <w:r>
        <w:t xml:space="preserve">Resultado</w:t>
      </w:r>
    </w:p>
    <w:p>
      <w:pPr>
        <w:pStyle w:val="FirstParagraph"/>
      </w:pPr>
      <w:r>
        <w:t xml:space="preserve">Datos sensibles (selfies + ID) borrados a los 7 días. Cumplimiento del principio de minimización temporal.</w:t>
      </w:r>
    </w:p>
    <w:p>
      <w:r>
        <w:pict>
          <v:rect style="width:0;height:1.5pt" o:hralign="center" o:hrstd="t" o:hr="t"/>
        </w:pict>
      </w:r>
    </w:p>
    <w:bookmarkEnd w:id="25"/>
    <w:bookmarkEnd w:id="26"/>
    <w:bookmarkStart w:id="30" w:name="X6ef5ccb067e5658c1c2c28bad7b75ea76b77f15"/>
    <w:p>
      <w:pPr>
        <w:pStyle w:val="Heading2"/>
      </w:pPr>
      <w:r>
        <w:t xml:space="preserve">3.4 Bloque 4 — Desacoplamiento de consentimientos (RGPD Art. 7)</w:t>
      </w:r>
    </w:p>
    <w:bookmarkStart w:id="27" w:name="riesgo-previo-3"/>
    <w:p>
      <w:pPr>
        <w:pStyle w:val="Heading3"/>
      </w:pPr>
      <w:r>
        <w:t xml:space="preserve">Riesgo previo</w:t>
      </w:r>
    </w:p>
    <w:p>
      <w:pPr>
        <w:pStyle w:val="FirstParagraph"/>
      </w:pPr>
      <w:r>
        <w:t xml:space="preserve">El formulario de onboarding agrupaba cuatro consentimientos como obligatorios:</w:t>
      </w:r>
    </w:p>
    <w:p>
      <w:pPr>
        <w:pStyle w:val="Compact"/>
        <w:numPr>
          <w:ilvl w:val="0"/>
          <w:numId w:val="1010"/>
        </w:numPr>
      </w:pPr>
      <w:r>
        <w:t xml:space="preserve">Términos.</w:t>
      </w:r>
    </w:p>
    <w:p>
      <w:pPr>
        <w:pStyle w:val="Compact"/>
        <w:numPr>
          <w:ilvl w:val="0"/>
          <w:numId w:val="1010"/>
        </w:numPr>
      </w:pPr>
      <w:r>
        <w:t xml:space="preserve">Privacidad.</w:t>
      </w:r>
    </w:p>
    <w:p>
      <w:pPr>
        <w:pStyle w:val="Compact"/>
        <w:numPr>
          <w:ilvl w:val="0"/>
          <w:numId w:val="1010"/>
        </w:numPr>
      </w:pPr>
      <w:r>
        <w:t xml:space="preserve">Uso de vídeo para matching.</w:t>
      </w:r>
    </w:p>
    <w:p>
      <w:pPr>
        <w:pStyle w:val="Compact"/>
        <w:numPr>
          <w:ilvl w:val="0"/>
          <w:numId w:val="1010"/>
        </w:numPr>
      </w:pPr>
      <w:r>
        <w:t xml:space="preserve">Matching basado en IA.</w:t>
      </w:r>
    </w:p>
    <w:p>
      <w:pPr>
        <w:pStyle w:val="FirstParagraph"/>
      </w:pPr>
      <w:r>
        <w:t xml:space="preserve">Esto incumple el artículo 7.4 RGPD: el consentimiento no puede estar condicionado a la prestación del servicio cuando ese consentimiento cubre tratamientos no estrictamente necesarios. La AEPD ha sancionado reiteradamente este patrón de</w:t>
      </w:r>
      <w:r>
        <w:t xml:space="preserve"> </w:t>
      </w:r>
      <w:r>
        <w:t xml:space="preserve">“consentimiento empaquetado”</w:t>
      </w:r>
      <w:r>
        <w:t xml:space="preserve">.</w:t>
      </w:r>
    </w:p>
    <w:bookmarkEnd w:id="27"/>
    <w:bookmarkStart w:id="28" w:name="acción-correctiva-3"/>
    <w:p>
      <w:pPr>
        <w:pStyle w:val="Heading3"/>
      </w:pPr>
      <w:r>
        <w:t xml:space="preserve">Acción correctiva</w:t>
      </w:r>
    </w:p>
    <w:p>
      <w:pPr>
        <w:pStyle w:val="Compact"/>
        <w:numPr>
          <w:ilvl w:val="0"/>
          <w:numId w:val="1011"/>
        </w:numPr>
      </w:pPr>
      <w:r>
        <w:rPr>
          <w:rStyle w:val="VerbatimChar"/>
          <w:b/>
          <w:bCs/>
        </w:rPr>
        <w:t xml:space="preserve">src/lib/compliance/definitions.faceando.ts</w:t>
      </w:r>
      <w:r>
        <w:t xml:space="preserve"> </w:t>
      </w:r>
      <w:r>
        <w:t xml:space="preserve">y</w:t>
      </w:r>
      <w:r>
        <w:t xml:space="preserve"> </w:t>
      </w:r>
      <w:r>
        <w:rPr>
          <w:rStyle w:val="VerbatimChar"/>
          <w:b/>
          <w:bCs/>
        </w:rPr>
        <w:t xml:space="preserve">src/components/ConsentStep.tsx</w:t>
      </w:r>
      <w:r>
        <w:t xml:space="preserve"> </w:t>
      </w:r>
      <w:r>
        <w:t xml:space="preserve">refactorizados:</w:t>
      </w:r>
    </w:p>
    <w:p>
      <w:pPr>
        <w:pStyle w:val="Compact"/>
        <w:numPr>
          <w:ilvl w:val="1"/>
          <w:numId w:val="1012"/>
        </w:numPr>
      </w:pPr>
      <w:r>
        <w:rPr>
          <w:rStyle w:val="VerbatimChar"/>
        </w:rPr>
        <w:t xml:space="preserve">terms</w:t>
      </w:r>
      <w:r>
        <w:t xml:space="preserve"> </w:t>
      </w:r>
      <w:r>
        <w:t xml:space="preserve">+</w:t>
      </w:r>
      <w:r>
        <w:t xml:space="preserve"> </w:t>
      </w:r>
      <w:r>
        <w:rPr>
          <w:rStyle w:val="VerbatimChar"/>
        </w:rPr>
        <w:t xml:space="preserve">privacy</w:t>
      </w:r>
      <w:r>
        <w:t xml:space="preserve"> </w:t>
      </w:r>
      <w:r>
        <w:t xml:space="preserve">→</w:t>
      </w:r>
      <w:r>
        <w:t xml:space="preserve"> </w:t>
      </w:r>
      <w:r>
        <w:rPr>
          <w:rStyle w:val="VerbatimChar"/>
        </w:rPr>
        <w:t xml:space="preserve">required: true</w:t>
      </w:r>
      <w:r>
        <w:t xml:space="preserve"> </w:t>
      </w:r>
      <w:r>
        <w:t xml:space="preserve">(base: ejecución del contrato + obligación legal).</w:t>
      </w:r>
    </w:p>
    <w:p>
      <w:pPr>
        <w:pStyle w:val="Compact"/>
        <w:numPr>
          <w:ilvl w:val="1"/>
          <w:numId w:val="1012"/>
        </w:numPr>
      </w:pPr>
      <w:r>
        <w:rPr>
          <w:rStyle w:val="VerbatimChar"/>
        </w:rPr>
        <w:t xml:space="preserve">video_usage</w:t>
      </w:r>
      <w:r>
        <w:t xml:space="preserve"> </w:t>
      </w:r>
      <w:r>
        <w:t xml:space="preserve">→</w:t>
      </w:r>
      <w:r>
        <w:t xml:space="preserve"> </w:t>
      </w:r>
      <w:r>
        <w:rPr>
          <w:rStyle w:val="VerbatimChar"/>
        </w:rPr>
        <w:t xml:space="preserve">required: false</w:t>
      </w:r>
      <w:r>
        <w:t xml:space="preserve"> </w:t>
      </w:r>
      <w:r>
        <w:t xml:space="preserve">(base: ejecución del contrato, separado).</w:t>
      </w:r>
    </w:p>
    <w:p>
      <w:pPr>
        <w:pStyle w:val="Compact"/>
        <w:numPr>
          <w:ilvl w:val="1"/>
          <w:numId w:val="1012"/>
        </w:numPr>
      </w:pPr>
      <w:r>
        <w:rPr>
          <w:rStyle w:val="VerbatimChar"/>
        </w:rPr>
        <w:t xml:space="preserve">ai_matching</w:t>
      </w:r>
      <w:r>
        <w:t xml:space="preserve"> </w:t>
      </w:r>
      <w:r>
        <w:t xml:space="preserve">→</w:t>
      </w:r>
      <w:r>
        <w:t xml:space="preserve"> </w:t>
      </w:r>
      <w:r>
        <w:rPr>
          <w:rStyle w:val="VerbatimChar"/>
        </w:rPr>
        <w:t xml:space="preserve">required: false</w:t>
      </w:r>
      <w:r>
        <w:t xml:space="preserve"> </w:t>
      </w:r>
      <w:r>
        <w:t xml:space="preserve">(base: consentimiento explícito separado).</w:t>
      </w:r>
    </w:p>
    <w:p>
      <w:pPr>
        <w:pStyle w:val="Compact"/>
        <w:numPr>
          <w:ilvl w:val="0"/>
          <w:numId w:val="1011"/>
        </w:numPr>
      </w:pPr>
      <w:r>
        <w:rPr>
          <w:b/>
          <w:bCs/>
        </w:rPr>
        <w:t xml:space="preserve">Adaptación del feed</w:t>
      </w:r>
      <w:r>
        <w:t xml:space="preserve"> </w:t>
      </w:r>
      <w:r>
        <w:t xml:space="preserve">(</w:t>
      </w:r>
      <w:r>
        <w:rPr>
          <w:rStyle w:val="VerbatimChar"/>
        </w:rPr>
        <w:t xml:space="preserve">feed.tsx</w:t>
      </w:r>
      <w:r>
        <w:t xml:space="preserve">): si el usuario no concede</w:t>
      </w:r>
      <w:r>
        <w:t xml:space="preserve"> </w:t>
      </w:r>
      <w:r>
        <w:rPr>
          <w:rStyle w:val="VerbatimChar"/>
        </w:rPr>
        <w:t xml:space="preserve">ai_matching</w:t>
      </w:r>
      <w:r>
        <w:t xml:space="preserve">, el sistema opera en modo no-IA (orden cronológico/geográfico), sin penalizarle.</w:t>
      </w:r>
    </w:p>
    <w:p>
      <w:pPr>
        <w:pStyle w:val="Compact"/>
        <w:numPr>
          <w:ilvl w:val="0"/>
          <w:numId w:val="1011"/>
        </w:numPr>
      </w:pPr>
      <w:r>
        <w:rPr>
          <w:b/>
          <w:bCs/>
        </w:rPr>
        <w:t xml:space="preserve">Información granular</w:t>
      </w:r>
      <w:r>
        <w:t xml:space="preserve"> </w:t>
      </w:r>
      <w:r>
        <w:t xml:space="preserve">mostrada al usuario por cada consentimiento: finalidad, base jurídica, posibilidad de retirarlo en cualquier momento.</w:t>
      </w:r>
    </w:p>
    <w:bookmarkEnd w:id="28"/>
    <w:bookmarkStart w:id="29" w:name="resultado-3"/>
    <w:p>
      <w:pPr>
        <w:pStyle w:val="Heading3"/>
      </w:pPr>
      <w:r>
        <w:t xml:space="preserve">Resultado</w:t>
      </w:r>
    </w:p>
    <w:p>
      <w:pPr>
        <w:pStyle w:val="FirstParagraph"/>
      </w:pPr>
      <w:r>
        <w:t xml:space="preserve">Consentimiento libre, específico, informado e inequívoco para cada finalidad. Cumplimiento del artículo 7 RGPD.</w:t>
      </w:r>
    </w:p>
    <w:p>
      <w:r>
        <w:pict>
          <v:rect style="width:0;height:1.5pt" o:hralign="center" o:hrstd="t" o:hr="t"/>
        </w:pict>
      </w:r>
    </w:p>
    <w:bookmarkEnd w:id="29"/>
    <w:bookmarkEnd w:id="30"/>
    <w:bookmarkStart w:id="34" w:name="X46cb3dbd508fcb5d07a725f747afeedaeba6456"/>
    <w:p>
      <w:pPr>
        <w:pStyle w:val="Heading2"/>
      </w:pPr>
      <w:r>
        <w:t xml:space="preserve">3.5 Bloque 5 — Etiquetado obligatorio de IA y bots (AI Act Art. 50)</w:t>
      </w:r>
    </w:p>
    <w:bookmarkStart w:id="31" w:name="riesgo-previo-4"/>
    <w:p>
      <w:pPr>
        <w:pStyle w:val="Heading3"/>
      </w:pPr>
      <w:r>
        <w:t xml:space="preserve">Riesgo previo</w:t>
      </w:r>
    </w:p>
    <w:p>
      <w:pPr>
        <w:pStyle w:val="FirstParagraph"/>
      </w:pPr>
      <w:r>
        <w:t xml:space="preserve">El feed mostraba perfiles de prueba (bots de IA) sin distinción visual respecto a usuarios reales, contraviniendo el artículo 50 del AI Act, que exige informar al usuario cuando interactúa con un sistema de IA o con contenido generado por IA.</w:t>
      </w:r>
    </w:p>
    <w:bookmarkEnd w:id="31"/>
    <w:bookmarkStart w:id="32" w:name="acción-correctiva-4"/>
    <w:p>
      <w:pPr>
        <w:pStyle w:val="Heading3"/>
      </w:pPr>
      <w:r>
        <w:t xml:space="preserve">Acción correctiva</w:t>
      </w:r>
    </w:p>
    <w:p>
      <w:pPr>
        <w:pStyle w:val="Compact"/>
        <w:numPr>
          <w:ilvl w:val="0"/>
          <w:numId w:val="1013"/>
        </w:numPr>
      </w:pPr>
      <w:r>
        <w:rPr>
          <w:b/>
          <w:bCs/>
        </w:rPr>
        <w:t xml:space="preserve">Componente</w:t>
      </w:r>
      <w:r>
        <w:rPr>
          <w:b/>
          <w:bCs/>
        </w:rPr>
        <w:t xml:space="preserve"> </w:t>
      </w:r>
      <w:r>
        <w:rPr>
          <w:rStyle w:val="VerbatimChar"/>
          <w:b/>
          <w:bCs/>
        </w:rPr>
        <w:t xml:space="preserve">VideoCard.tsx</w:t>
      </w:r>
      <w:r>
        <w:t xml:space="preserve">: badge visible</w:t>
      </w:r>
      <w:r>
        <w:t xml:space="preserve"> </w:t>
      </w:r>
      <w:r>
        <w:t xml:space="preserve">“🤖 IA”</w:t>
      </w:r>
      <w:r>
        <w:t xml:space="preserve"> </w:t>
      </w:r>
      <w:r>
        <w:t xml:space="preserve">cuando</w:t>
      </w:r>
      <w:r>
        <w:t xml:space="preserve"> </w:t>
      </w:r>
      <w:r>
        <w:rPr>
          <w:rStyle w:val="VerbatimChar"/>
        </w:rPr>
        <w:t xml:space="preserve">profile.is_test_bot = true</w:t>
      </w:r>
      <w:r>
        <w:t xml:space="preserve">.</w:t>
      </w:r>
    </w:p>
    <w:p>
      <w:pPr>
        <w:pStyle w:val="Compact"/>
        <w:numPr>
          <w:ilvl w:val="0"/>
          <w:numId w:val="1013"/>
        </w:numPr>
      </w:pPr>
      <w:r>
        <w:rPr>
          <w:b/>
          <w:bCs/>
        </w:rPr>
        <w:t xml:space="preserve">Banner permanente en</w:t>
      </w:r>
      <w:r>
        <w:rPr>
          <w:b/>
          <w:bCs/>
        </w:rPr>
        <w:t xml:space="preserve"> </w:t>
      </w:r>
      <w:r>
        <w:rPr>
          <w:rStyle w:val="VerbatimChar"/>
          <w:b/>
          <w:bCs/>
        </w:rPr>
        <w:t xml:space="preserve">feed.tsx</w:t>
      </w:r>
      <w:r>
        <w:t xml:space="preserve">: aviso global</w:t>
      </w:r>
      <w:r>
        <w:t xml:space="preserve"> </w:t>
      </w:r>
      <w:r>
        <w:t xml:space="preserve">“Algunos perfiles pueden ser generados por IA con fines de prueba”</w:t>
      </w:r>
      <w:r>
        <w:t xml:space="preserve"> </w:t>
      </w:r>
      <w:r>
        <w:t xml:space="preserve">la primera vez que el usuario accede al feed.</w:t>
      </w:r>
    </w:p>
    <w:p>
      <w:pPr>
        <w:pStyle w:val="Compact"/>
        <w:numPr>
          <w:ilvl w:val="0"/>
          <w:numId w:val="1013"/>
        </w:numPr>
      </w:pPr>
      <w:r>
        <w:rPr>
          <w:b/>
          <w:bCs/>
        </w:rPr>
        <w:t xml:space="preserve">Diferenciación visual clara</w:t>
      </w:r>
      <w:r>
        <w:t xml:space="preserve"> </w:t>
      </w:r>
      <w:r>
        <w:t xml:space="preserve">para evitar la inducción a error.</w:t>
      </w:r>
    </w:p>
    <w:bookmarkEnd w:id="32"/>
    <w:bookmarkStart w:id="33" w:name="resultado-4"/>
    <w:p>
      <w:pPr>
        <w:pStyle w:val="Heading3"/>
      </w:pPr>
      <w:r>
        <w:t xml:space="preserve">Resultado</w:t>
      </w:r>
    </w:p>
    <w:p>
      <w:pPr>
        <w:pStyle w:val="FirstParagraph"/>
      </w:pPr>
      <w:r>
        <w:t xml:space="preserve">Cumplimiento del artículo 50 AI Act. El usuario sabe siempre cuándo interactúa con IA.</w:t>
      </w:r>
    </w:p>
    <w:p>
      <w:r>
        <w:pict>
          <v:rect style="width:0;height:1.5pt" o:hralign="center" o:hrstd="t" o:hr="t"/>
        </w:pict>
      </w:r>
    </w:p>
    <w:bookmarkEnd w:id="33"/>
    <w:bookmarkEnd w:id="34"/>
    <w:bookmarkStart w:id="38" w:name="Xad11a7fc69e90e5205bb91538e88ba1e6d0b9c9"/>
    <w:p>
      <w:pPr>
        <w:pStyle w:val="Heading2"/>
      </w:pPr>
      <w:r>
        <w:t xml:space="preserve">3.6 Bloque 6 — Páginas editoriales</w:t>
      </w:r>
      <w:r>
        <w:t xml:space="preserve"> </w:t>
      </w:r>
      <w:r>
        <w:rPr>
          <w:rStyle w:val="VerbatimChar"/>
        </w:rPr>
        <w:t xml:space="preserve">/privacy</w:t>
      </w:r>
      <w:r>
        <w:t xml:space="preserve"> </w:t>
      </w:r>
      <w:r>
        <w:t xml:space="preserve">y</w:t>
      </w:r>
      <w:r>
        <w:t xml:space="preserve"> </w:t>
      </w:r>
      <w:r>
        <w:rPr>
          <w:rStyle w:val="VerbatimChar"/>
        </w:rPr>
        <w:t xml:space="preserve">/ai-transparency</w:t>
      </w:r>
    </w:p>
    <w:bookmarkStart w:id="35" w:name="riesgo-previo-5"/>
    <w:p>
      <w:pPr>
        <w:pStyle w:val="Heading3"/>
      </w:pPr>
      <w:r>
        <w:t xml:space="preserve">Riesgo previo</w:t>
      </w:r>
    </w:p>
    <w:p>
      <w:pPr>
        <w:pStyle w:val="FirstParagraph"/>
      </w:pPr>
      <w:r>
        <w:t xml:space="preserve">La política de privacidad era genérica e incompleta. No existía página de transparencia algorítmica, exigida por el AI Act y por la doctrina del</w:t>
      </w:r>
      <w:r>
        <w:t xml:space="preserve"> </w:t>
      </w:r>
      <w:r>
        <w:rPr>
          <w:b/>
          <w:bCs/>
        </w:rPr>
        <w:t xml:space="preserve">Considerando 71 RGPD</w:t>
      </w:r>
      <w:r>
        <w:t xml:space="preserve">.</w:t>
      </w:r>
    </w:p>
    <w:bookmarkEnd w:id="35"/>
    <w:bookmarkStart w:id="36" w:name="acción-correctiva-5"/>
    <w:p>
      <w:pPr>
        <w:pStyle w:val="Heading3"/>
      </w:pPr>
      <w:r>
        <w:t xml:space="preserve">Acción correctiva</w:t>
      </w:r>
    </w:p>
    <w:p>
      <w:pPr>
        <w:pStyle w:val="Compact"/>
        <w:numPr>
          <w:ilvl w:val="0"/>
          <w:numId w:val="1014"/>
        </w:numPr>
      </w:pPr>
      <w:r>
        <w:rPr>
          <w:rStyle w:val="VerbatimChar"/>
          <w:b/>
          <w:bCs/>
        </w:rPr>
        <w:t xml:space="preserve">src/routes/privacy.tsx</w:t>
      </w:r>
      <w:r>
        <w:t xml:space="preserve"> </w:t>
      </w:r>
      <w:r>
        <w:t xml:space="preserve">ampliada con:</w:t>
      </w:r>
    </w:p>
    <w:p>
      <w:pPr>
        <w:pStyle w:val="Compact"/>
        <w:numPr>
          <w:ilvl w:val="1"/>
          <w:numId w:val="1015"/>
        </w:numPr>
      </w:pPr>
      <w:r>
        <w:t xml:space="preserve">Identificación del responsable y DPO (</w:t>
      </w:r>
      <w:r>
        <w:rPr>
          <w:rStyle w:val="VerbatimChar"/>
        </w:rPr>
        <w:t xml:space="preserve">dpo@aurun.app</w:t>
      </w:r>
      <w:r>
        <w:t xml:space="preserve">).</w:t>
      </w:r>
    </w:p>
    <w:p>
      <w:pPr>
        <w:pStyle w:val="Compact"/>
        <w:numPr>
          <w:ilvl w:val="1"/>
          <w:numId w:val="1015"/>
        </w:numPr>
      </w:pPr>
      <w:r>
        <w:t xml:space="preserve">Bases jurídicas por categoría de dato.</w:t>
      </w:r>
    </w:p>
    <w:p>
      <w:pPr>
        <w:pStyle w:val="Compact"/>
        <w:numPr>
          <w:ilvl w:val="1"/>
          <w:numId w:val="1015"/>
        </w:numPr>
      </w:pPr>
      <w:r>
        <w:t xml:space="preserve">Plazos de conservación, incluido el nuevo plazo de 7 días para datos de verificación.</w:t>
      </w:r>
    </w:p>
    <w:p>
      <w:pPr>
        <w:pStyle w:val="Compact"/>
        <w:numPr>
          <w:ilvl w:val="1"/>
          <w:numId w:val="1015"/>
        </w:numPr>
      </w:pPr>
      <w:r>
        <w:t xml:space="preserve">Transferencias internacionales (Lovable AI Gateway en EE. UU., basadas en SCC + DPF).</w:t>
      </w:r>
    </w:p>
    <w:p>
      <w:pPr>
        <w:pStyle w:val="Compact"/>
        <w:numPr>
          <w:ilvl w:val="1"/>
          <w:numId w:val="1015"/>
        </w:numPr>
      </w:pPr>
      <w:r>
        <w:t xml:space="preserve">Decisiones automatizadas e IA: mención explícita a la prohibición de análisis biométrico/emocional facial y a la revisión humana obligatoria en VAR.</w:t>
      </w:r>
    </w:p>
    <w:p>
      <w:pPr>
        <w:pStyle w:val="Compact"/>
        <w:numPr>
          <w:ilvl w:val="1"/>
          <w:numId w:val="1015"/>
        </w:numPr>
      </w:pPr>
      <w:r>
        <w:t xml:space="preserve">Derechos GDPR (arts. 15–22) y vía de reclamación ante la AEPD.</w:t>
      </w:r>
    </w:p>
    <w:p>
      <w:pPr>
        <w:pStyle w:val="Compact"/>
        <w:numPr>
          <w:ilvl w:val="0"/>
          <w:numId w:val="1014"/>
        </w:numPr>
      </w:pPr>
      <w:r>
        <w:rPr>
          <w:b/>
          <w:bCs/>
        </w:rPr>
        <w:t xml:space="preserve">Nueva ruta</w:t>
      </w:r>
      <w:r>
        <w:rPr>
          <w:b/>
          <w:bCs/>
        </w:rPr>
        <w:t xml:space="preserve"> </w:t>
      </w:r>
      <w:r>
        <w:rPr>
          <w:rStyle w:val="VerbatimChar"/>
          <w:b/>
          <w:bCs/>
        </w:rPr>
        <w:t xml:space="preserve">src/routes/ai-transparency.tsx</w:t>
      </w:r>
      <w:r>
        <w:t xml:space="preserve"> </w:t>
      </w:r>
      <w:r>
        <w:t xml:space="preserve">que documenta los sistemas de IA en uso:</w:t>
      </w:r>
    </w:p>
    <w:p>
      <w:pPr>
        <w:pStyle w:val="Compact"/>
        <w:numPr>
          <w:ilvl w:val="1"/>
          <w:numId w:val="1016"/>
        </w:numPr>
      </w:pPr>
      <w:r>
        <w:rPr>
          <w:b/>
          <w:bCs/>
        </w:rPr>
        <w:t xml:space="preserve">Cupido</w:t>
      </w:r>
      <w:r>
        <w:t xml:space="preserve"> </w:t>
      </w:r>
      <w:r>
        <w:t xml:space="preserve">(matching y sugerencias) — lógica, finalidad, riesgo, opt-out.</w:t>
      </w:r>
    </w:p>
    <w:p>
      <w:pPr>
        <w:pStyle w:val="Compact"/>
        <w:numPr>
          <w:ilvl w:val="1"/>
          <w:numId w:val="1016"/>
        </w:numPr>
      </w:pPr>
      <w:r>
        <w:rPr>
          <w:b/>
          <w:bCs/>
        </w:rPr>
        <w:t xml:space="preserve">Análisis de calidad de vídeo</w:t>
      </w:r>
      <w:r>
        <w:t xml:space="preserve"> </w:t>
      </w:r>
      <w:r>
        <w:t xml:space="preserve">— no biométrico, restricciones explícitas.</w:t>
      </w:r>
    </w:p>
    <w:p>
      <w:pPr>
        <w:pStyle w:val="Compact"/>
        <w:numPr>
          <w:ilvl w:val="1"/>
          <w:numId w:val="1016"/>
        </w:numPr>
      </w:pPr>
      <w:r>
        <w:rPr>
          <w:b/>
          <w:bCs/>
        </w:rPr>
        <w:t xml:space="preserve">VAR</w:t>
      </w:r>
      <w:r>
        <w:t xml:space="preserve"> </w:t>
      </w:r>
      <w:r>
        <w:t xml:space="preserve">— siempre con revisión humana antes de cualquier insignia.</w:t>
      </w:r>
    </w:p>
    <w:p>
      <w:pPr>
        <w:pStyle w:val="Compact"/>
        <w:numPr>
          <w:ilvl w:val="1"/>
          <w:numId w:val="1016"/>
        </w:numPr>
      </w:pPr>
      <w:r>
        <w:rPr>
          <w:b/>
          <w:bCs/>
        </w:rPr>
        <w:t xml:space="preserve">Test Bots</w:t>
      </w:r>
      <w:r>
        <w:t xml:space="preserve"> </w:t>
      </w:r>
      <w:r>
        <w:t xml:space="preserve">— identificados conforme al artículo 50 AI Act.</w:t>
      </w:r>
    </w:p>
    <w:p>
      <w:pPr>
        <w:pStyle w:val="Compact"/>
        <w:numPr>
          <w:ilvl w:val="1"/>
          <w:numId w:val="1016"/>
        </w:numPr>
      </w:pPr>
      <w:r>
        <w:t xml:space="preserve">Sección</w:t>
      </w:r>
      <w:r>
        <w:t xml:space="preserve"> </w:t>
      </w:r>
      <w:r>
        <w:t xml:space="preserve">“Lo que NUNCA hacemos”</w:t>
      </w:r>
      <w:r>
        <w:t xml:space="preserve">: análisis facial, inferencia emocional, scoring social, decisiones automatizadas con efectos jurídicos.</w:t>
      </w:r>
    </w:p>
    <w:p>
      <w:pPr>
        <w:pStyle w:val="Compact"/>
        <w:numPr>
          <w:ilvl w:val="0"/>
          <w:numId w:val="1014"/>
        </w:numPr>
      </w:pPr>
      <w:r>
        <w:rPr>
          <w:rStyle w:val="VerbatimChar"/>
          <w:b/>
          <w:bCs/>
        </w:rPr>
        <w:t xml:space="preserve">src/routes/settings.tsx</w:t>
      </w:r>
      <w:r>
        <w:t xml:space="preserve"> </w:t>
      </w:r>
      <w:r>
        <w:t xml:space="preserve">con enlace directo a</w:t>
      </w:r>
      <w:r>
        <w:t xml:space="preserve"> </w:t>
      </w:r>
      <w:r>
        <w:rPr>
          <w:rStyle w:val="VerbatimChar"/>
        </w:rPr>
        <w:t xml:space="preserve">/ai-transparency</w:t>
      </w:r>
      <w:r>
        <w:t xml:space="preserve">.</w:t>
      </w:r>
    </w:p>
    <w:bookmarkEnd w:id="36"/>
    <w:bookmarkStart w:id="37" w:name="resultado-5"/>
    <w:p>
      <w:pPr>
        <w:pStyle w:val="Heading3"/>
      </w:pPr>
      <w:r>
        <w:t xml:space="preserve">Resultado</w:t>
      </w:r>
    </w:p>
    <w:p>
      <w:pPr>
        <w:pStyle w:val="FirstParagraph"/>
      </w:pPr>
      <w:r>
        <w:t xml:space="preserve">Transparencia algorítmica documentada y accesible desde la app. Cumplimiento del AI Act y del Considerando 71 RGPD.</w:t>
      </w:r>
    </w:p>
    <w:p>
      <w:r>
        <w:pict>
          <v:rect style="width:0;height:1.5pt" o:hralign="center" o:hrstd="t" o:hr="t"/>
        </w:pict>
      </w:r>
    </w:p>
    <w:bookmarkEnd w:id="37"/>
    <w:bookmarkEnd w:id="38"/>
    <w:bookmarkEnd w:id="39"/>
    <w:bookmarkStart w:id="47" w:name="Xa0fd414b489abd57453aa0535f699b63a331020"/>
    <w:p>
      <w:pPr>
        <w:pStyle w:val="Heading1"/>
      </w:pPr>
      <w:r>
        <w:t xml:space="preserve">4. Principios RGPD: cumplimiento punto por punto</w:t>
      </w:r>
    </w:p>
    <w:bookmarkStart w:id="40" w:name="X11b9b0e48ca3563e3cc6556a38ab6b238fde04b"/>
    <w:p>
      <w:pPr>
        <w:pStyle w:val="Heading2"/>
      </w:pPr>
      <w:r>
        <w:t xml:space="preserve">4.1 Licitud, lealtad y transparencia (Art. 5.1.a)</w:t>
      </w:r>
    </w:p>
    <w:p>
      <w:pPr>
        <w:pStyle w:val="Compact"/>
        <w:numPr>
          <w:ilvl w:val="0"/>
          <w:numId w:val="1017"/>
        </w:numPr>
      </w:pPr>
      <w:r>
        <w:t xml:space="preserve">Bases jurídicas correctamente asignadas y comunicadas (ejecución del contrato, consentimiento, obligación legal, interés legítimo).</w:t>
      </w:r>
    </w:p>
    <w:p>
      <w:pPr>
        <w:pStyle w:val="Compact"/>
        <w:numPr>
          <w:ilvl w:val="0"/>
          <w:numId w:val="1017"/>
        </w:numPr>
      </w:pPr>
      <w:r>
        <w:t xml:space="preserve">Información clara y accesible en</w:t>
      </w:r>
      <w:r>
        <w:t xml:space="preserve"> </w:t>
      </w:r>
      <w:r>
        <w:rPr>
          <w:rStyle w:val="VerbatimChar"/>
        </w:rPr>
        <w:t xml:space="preserve">/privacy</w:t>
      </w:r>
      <w:r>
        <w:t xml:space="preserve"> </w:t>
      </w:r>
      <w:r>
        <w:t xml:space="preserve">y</w:t>
      </w:r>
      <w:r>
        <w:t xml:space="preserve"> </w:t>
      </w:r>
      <w:r>
        <w:rPr>
          <w:rStyle w:val="VerbatimChar"/>
        </w:rPr>
        <w:t xml:space="preserve">/ai-transparency</w:t>
      </w:r>
      <w:r>
        <w:t xml:space="preserve">.</w:t>
      </w:r>
    </w:p>
    <w:p>
      <w:pPr>
        <w:pStyle w:val="Compact"/>
        <w:numPr>
          <w:ilvl w:val="0"/>
          <w:numId w:val="1017"/>
        </w:numPr>
      </w:pPr>
      <w:r>
        <w:t xml:space="preserve">Sin patrones oscuros (</w:t>
      </w:r>
      <w:r>
        <w:rPr>
          <w:rStyle w:val="VerbatimChar"/>
        </w:rPr>
        <w:t xml:space="preserve">dark patterns</w:t>
      </w:r>
      <w:r>
        <w:t xml:space="preserve">): los consentimientos opcionales no son obligatorios y la negativa no penaliza al usuario.</w:t>
      </w:r>
    </w:p>
    <w:bookmarkEnd w:id="40"/>
    <w:bookmarkStart w:id="41" w:name="limitación-de-la-finalidad-art.-5.1.b"/>
    <w:p>
      <w:pPr>
        <w:pStyle w:val="Heading2"/>
      </w:pPr>
      <w:r>
        <w:t xml:space="preserve">4.2 Limitación de la finalidad (Art. 5.1.b)</w:t>
      </w:r>
    </w:p>
    <w:p>
      <w:pPr>
        <w:pStyle w:val="Compact"/>
        <w:numPr>
          <w:ilvl w:val="0"/>
          <w:numId w:val="1018"/>
        </w:numPr>
      </w:pPr>
      <w:r>
        <w:t xml:space="preserve">Cada dato tiene una finalidad declarada en la política y vinculada a una base jurídica concreta.</w:t>
      </w:r>
    </w:p>
    <w:p>
      <w:pPr>
        <w:pStyle w:val="Compact"/>
        <w:numPr>
          <w:ilvl w:val="0"/>
          <w:numId w:val="1018"/>
        </w:numPr>
      </w:pPr>
      <w:r>
        <w:t xml:space="preserve">Sin reutilización para finalidades incompatibles (no se entrena ningún modelo propio con datos del usuario sin consentimiento explícito).</w:t>
      </w:r>
    </w:p>
    <w:bookmarkEnd w:id="41"/>
    <w:bookmarkStart w:id="42" w:name="minimización-de-datos-art.-5.1.c"/>
    <w:p>
      <w:pPr>
        <w:pStyle w:val="Heading2"/>
      </w:pPr>
      <w:r>
        <w:t xml:space="preserve">4.3 Minimización de datos (Art. 5.1.c)</w:t>
      </w:r>
    </w:p>
    <w:p>
      <w:pPr>
        <w:pStyle w:val="Compact"/>
        <w:numPr>
          <w:ilvl w:val="0"/>
          <w:numId w:val="1019"/>
        </w:numPr>
      </w:pPr>
      <w:r>
        <w:t xml:space="preserve">Ubicación: solo ciudad aproximada, nunca coordenadas exactas en perfil.</w:t>
      </w:r>
    </w:p>
    <w:p>
      <w:pPr>
        <w:pStyle w:val="Compact"/>
        <w:numPr>
          <w:ilvl w:val="0"/>
          <w:numId w:val="1019"/>
        </w:numPr>
      </w:pPr>
      <w:r>
        <w:t xml:space="preserve">Documentos de identidad: solo lo imprescindible para verificación, borrado a los 7 días.</w:t>
      </w:r>
    </w:p>
    <w:p>
      <w:pPr>
        <w:pStyle w:val="Compact"/>
        <w:numPr>
          <w:ilvl w:val="0"/>
          <w:numId w:val="1019"/>
        </w:numPr>
      </w:pPr>
      <w:r>
        <w:t xml:space="preserve">Selfies de verificación: no se almacenan permanentemente; se conserva solo el resultado.</w:t>
      </w:r>
    </w:p>
    <w:bookmarkEnd w:id="42"/>
    <w:bookmarkStart w:id="43" w:name="exactitud-art.-5.1.d"/>
    <w:p>
      <w:pPr>
        <w:pStyle w:val="Heading2"/>
      </w:pPr>
      <w:r>
        <w:t xml:space="preserve">4.4 Exactitud (Art. 5.1.d)</w:t>
      </w:r>
    </w:p>
    <w:p>
      <w:pPr>
        <w:pStyle w:val="Compact"/>
        <w:numPr>
          <w:ilvl w:val="0"/>
          <w:numId w:val="1020"/>
        </w:numPr>
      </w:pPr>
      <w:r>
        <w:t xml:space="preserve">El usuario puede editar su perfil en cualquier momento desde</w:t>
      </w:r>
      <w:r>
        <w:t xml:space="preserve"> </w:t>
      </w:r>
      <w:r>
        <w:rPr>
          <w:rStyle w:val="VerbatimChar"/>
        </w:rPr>
        <w:t xml:space="preserve">/edit-profile</w:t>
      </w:r>
      <w:r>
        <w:t xml:space="preserve">.</w:t>
      </w:r>
    </w:p>
    <w:p>
      <w:pPr>
        <w:pStyle w:val="Compact"/>
        <w:numPr>
          <w:ilvl w:val="0"/>
          <w:numId w:val="1020"/>
        </w:numPr>
      </w:pPr>
      <w:r>
        <w:t xml:space="preserve">Mecanismos de auto-actualización vía outbox (</w:t>
      </w:r>
      <w:r>
        <w:rPr>
          <w:rStyle w:val="VerbatimChar"/>
        </w:rPr>
        <w:t xml:space="preserve">profile_sync_outbox</w:t>
      </w:r>
      <w:r>
        <w:t xml:space="preserve">).</w:t>
      </w:r>
    </w:p>
    <w:bookmarkEnd w:id="43"/>
    <w:bookmarkStart w:id="44" w:name="Xba1b43113459c401305f85a6200d0904e1c390d"/>
    <w:p>
      <w:pPr>
        <w:pStyle w:val="Heading2"/>
      </w:pPr>
      <w:r>
        <w:t xml:space="preserve">4.5 Limitación del plazo de conservación (Art. 5.1.e)</w:t>
      </w:r>
    </w:p>
    <w:p>
      <w:pPr>
        <w:pStyle w:val="Compact"/>
        <w:numPr>
          <w:ilvl w:val="0"/>
          <w:numId w:val="1021"/>
        </w:numPr>
      </w:pPr>
      <w:r>
        <w:t xml:space="preserve">Documentos verificación:</w:t>
      </w:r>
      <w:r>
        <w:t xml:space="preserve"> </w:t>
      </w:r>
      <w:r>
        <w:rPr>
          <w:b/>
          <w:bCs/>
        </w:rPr>
        <w:t xml:space="preserve">7 días</w:t>
      </w:r>
      <w:r>
        <w:t xml:space="preserve">.</w:t>
      </w:r>
    </w:p>
    <w:p>
      <w:pPr>
        <w:pStyle w:val="Compact"/>
        <w:numPr>
          <w:ilvl w:val="0"/>
          <w:numId w:val="1021"/>
        </w:numPr>
      </w:pPr>
      <w:r>
        <w:t xml:space="preserve">Vídeos VAR:</w:t>
      </w:r>
      <w:r>
        <w:t xml:space="preserve"> </w:t>
      </w:r>
      <w:r>
        <w:rPr>
          <w:b/>
          <w:bCs/>
        </w:rPr>
        <w:t xml:space="preserve">7 días</w:t>
      </w:r>
      <w:r>
        <w:t xml:space="preserve">.</w:t>
      </w:r>
    </w:p>
    <w:p>
      <w:pPr>
        <w:pStyle w:val="Compact"/>
        <w:numPr>
          <w:ilvl w:val="0"/>
          <w:numId w:val="1021"/>
        </w:numPr>
      </w:pPr>
      <w:r>
        <w:t xml:space="preserve">Logs anti-fraude: 12 meses.</w:t>
      </w:r>
    </w:p>
    <w:p>
      <w:pPr>
        <w:pStyle w:val="Compact"/>
        <w:numPr>
          <w:ilvl w:val="0"/>
          <w:numId w:val="1021"/>
        </w:numPr>
      </w:pPr>
      <w:r>
        <w:t xml:space="preserve">Datos fiscales: 5 años (obligación legal).</w:t>
      </w:r>
    </w:p>
    <w:p>
      <w:pPr>
        <w:pStyle w:val="Compact"/>
        <w:numPr>
          <w:ilvl w:val="0"/>
          <w:numId w:val="1021"/>
        </w:numPr>
      </w:pPr>
      <w:r>
        <w:t xml:space="preserve">Notificaciones: 90 días.</w:t>
      </w:r>
    </w:p>
    <w:p>
      <w:pPr>
        <w:pStyle w:val="Compact"/>
        <w:numPr>
          <w:ilvl w:val="0"/>
          <w:numId w:val="1021"/>
        </w:numPr>
      </w:pPr>
      <w:r>
        <w:t xml:space="preserve">Consentimientos: 3 años (carga de la prueba).</w:t>
      </w:r>
    </w:p>
    <w:p>
      <w:pPr>
        <w:pStyle w:val="Compact"/>
        <w:numPr>
          <w:ilvl w:val="0"/>
          <w:numId w:val="1021"/>
        </w:numPr>
      </w:pPr>
      <w:r>
        <w:t xml:space="preserve">Cuenta eliminada: anonimización inmediata, borrado total en 30 días.</w:t>
      </w:r>
    </w:p>
    <w:bookmarkEnd w:id="44"/>
    <w:bookmarkStart w:id="45" w:name="integridad-y-confidencialidad-art.-5.1.f"/>
    <w:p>
      <w:pPr>
        <w:pStyle w:val="Heading2"/>
      </w:pPr>
      <w:r>
        <w:t xml:space="preserve">4.6 Integridad y confidencialidad (Art. 5.1.f)</w:t>
      </w:r>
    </w:p>
    <w:p>
      <w:pPr>
        <w:pStyle w:val="Compact"/>
        <w:numPr>
          <w:ilvl w:val="0"/>
          <w:numId w:val="1022"/>
        </w:numPr>
      </w:pPr>
      <w:r>
        <w:t xml:space="preserve">TLS 1.3 en tránsito, AES-256 en reposo (Supabase / Lovable Cloud).</w:t>
      </w:r>
    </w:p>
    <w:p>
      <w:pPr>
        <w:pStyle w:val="Compact"/>
        <w:numPr>
          <w:ilvl w:val="0"/>
          <w:numId w:val="1022"/>
        </w:numPr>
      </w:pPr>
      <w:r>
        <w:rPr>
          <w:b/>
          <w:bCs/>
        </w:rPr>
        <w:t xml:space="preserve">Row Level Security (RLS)</w:t>
      </w:r>
      <w:r>
        <w:t xml:space="preserve"> </w:t>
      </w:r>
      <w:r>
        <w:t xml:space="preserve">activado en todas las tablas con datos personales.</w:t>
      </w:r>
    </w:p>
    <w:p>
      <w:pPr>
        <w:pStyle w:val="Compact"/>
        <w:numPr>
          <w:ilvl w:val="0"/>
          <w:numId w:val="1022"/>
        </w:numPr>
      </w:pPr>
      <w:r>
        <w:t xml:space="preserve">Roles separados en tabla</w:t>
      </w:r>
      <w:r>
        <w:t xml:space="preserve"> </w:t>
      </w:r>
      <w:r>
        <w:rPr>
          <w:rStyle w:val="VerbatimChar"/>
        </w:rPr>
        <w:t xml:space="preserve">user_roles</w:t>
      </w:r>
      <w:r>
        <w:t xml:space="preserve"> </w:t>
      </w:r>
      <w:r>
        <w:t xml:space="preserve">con función</w:t>
      </w:r>
      <w:r>
        <w:t xml:space="preserve"> </w:t>
      </w:r>
      <w:r>
        <w:rPr>
          <w:rStyle w:val="VerbatimChar"/>
        </w:rPr>
        <w:t xml:space="preserve">has_role()</w:t>
      </w:r>
      <w:r>
        <w:t xml:space="preserve"> </w:t>
      </w:r>
      <w:r>
        <w:rPr>
          <w:rStyle w:val="VerbatimChar"/>
        </w:rPr>
        <w:t xml:space="preserve">SECURITY DEFINER</w:t>
      </w:r>
      <w:r>
        <w:t xml:space="preserve">, evitando la escalada de privilegios.</w:t>
      </w:r>
    </w:p>
    <w:p>
      <w:pPr>
        <w:pStyle w:val="Compact"/>
        <w:numPr>
          <w:ilvl w:val="0"/>
          <w:numId w:val="1022"/>
        </w:numPr>
      </w:pPr>
      <w:r>
        <w:t xml:space="preserve">Auditoría de accesos sensibles en</w:t>
      </w:r>
      <w:r>
        <w:t xml:space="preserve"> </w:t>
      </w:r>
      <w:r>
        <w:rPr>
          <w:rStyle w:val="VerbatimChar"/>
        </w:rPr>
        <w:t xml:space="preserve">privacy_audit_log</w:t>
      </w:r>
      <w:r>
        <w:t xml:space="preserve">.</w:t>
      </w:r>
    </w:p>
    <w:bookmarkEnd w:id="45"/>
    <w:bookmarkStart w:id="46" w:name="responsabilidad-proactiva-art.-5.2"/>
    <w:p>
      <w:pPr>
        <w:pStyle w:val="Heading2"/>
      </w:pPr>
      <w:r>
        <w:t xml:space="preserve">4.7 Responsabilidad proactiva (Art. 5.2)</w:t>
      </w:r>
    </w:p>
    <w:p>
      <w:pPr>
        <w:pStyle w:val="Compact"/>
        <w:numPr>
          <w:ilvl w:val="0"/>
          <w:numId w:val="1023"/>
        </w:numPr>
      </w:pPr>
      <w:r>
        <w:t xml:space="preserve">Registro de actividades de tratamiento documentado (art. 30).</w:t>
      </w:r>
    </w:p>
    <w:p>
      <w:pPr>
        <w:pStyle w:val="Compact"/>
        <w:numPr>
          <w:ilvl w:val="0"/>
          <w:numId w:val="1023"/>
        </w:numPr>
      </w:pPr>
      <w:r>
        <w:t xml:space="preserve">Evaluación de impacto en protección de datos (AIPD) elaborada para los tratamientos de alto riesgo (verificación de identidad, matching IA, vídeo).</w:t>
      </w:r>
    </w:p>
    <w:p>
      <w:pPr>
        <w:pStyle w:val="Compact"/>
        <w:numPr>
          <w:ilvl w:val="0"/>
          <w:numId w:val="1023"/>
        </w:numPr>
      </w:pPr>
      <w:r>
        <w:t xml:space="preserve">DPO designado:</w:t>
      </w:r>
      <w:r>
        <w:t xml:space="preserve"> </w:t>
      </w:r>
      <w:r>
        <w:rPr>
          <w:rStyle w:val="VerbatimChar"/>
        </w:rPr>
        <w:t xml:space="preserve">dpo@aurun.app</w:t>
      </w:r>
      <w:r>
        <w:t xml:space="preserve">.</w:t>
      </w:r>
    </w:p>
    <w:p>
      <w:r>
        <w:pict>
          <v:rect style="width:0;height:1.5pt" o:hralign="center" o:hrstd="t" o:hr="t"/>
        </w:pict>
      </w:r>
    </w:p>
    <w:bookmarkEnd w:id="46"/>
    <w:bookmarkEnd w:id="47"/>
    <w:bookmarkStart w:id="48" w:name="Xaf08ac6da6857d8eb6e6f4228ff656b66eb6c7c"/>
    <w:p>
      <w:pPr>
        <w:pStyle w:val="Heading1"/>
      </w:pPr>
      <w:r>
        <w:t xml:space="preserve">5. Derechos del interesado: ejercicio efectivo</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Derecho</w:t>
            </w:r>
          </w:p>
        </w:tc>
        <w:tc>
          <w:tcPr/>
          <w:p>
            <w:pPr>
              <w:pStyle w:val="Compact"/>
            </w:pPr>
            <w:r>
              <w:t xml:space="preserve">Artículo</w:t>
            </w:r>
          </w:p>
        </w:tc>
        <w:tc>
          <w:tcPr/>
          <w:p>
            <w:pPr>
              <w:pStyle w:val="Compact"/>
            </w:pPr>
            <w:r>
              <w:t xml:space="preserve">Cómo se ejerce</w:t>
            </w:r>
          </w:p>
        </w:tc>
        <w:tc>
          <w:tcPr/>
          <w:p>
            <w:pPr>
              <w:pStyle w:val="Compact"/>
            </w:pPr>
            <w:r>
              <w:t xml:space="preserve">Plazo de respuesta</w:t>
            </w:r>
          </w:p>
        </w:tc>
      </w:tr>
      <w:tr>
        <w:tc>
          <w:tcPr/>
          <w:p>
            <w:pPr>
              <w:pStyle w:val="Compact"/>
            </w:pPr>
            <w:r>
              <w:t xml:space="preserve">Acceso</w:t>
            </w:r>
          </w:p>
        </w:tc>
        <w:tc>
          <w:tcPr/>
          <w:p>
            <w:pPr>
              <w:pStyle w:val="Compact"/>
            </w:pPr>
            <w:r>
              <w:t xml:space="preserve">15</w:t>
            </w:r>
          </w:p>
        </w:tc>
        <w:tc>
          <w:tcPr/>
          <w:p>
            <w:pPr>
              <w:pStyle w:val="Compact"/>
            </w:pPr>
            <w:r>
              <w:t xml:space="preserve">Función</w:t>
            </w:r>
            <w:r>
              <w:t xml:space="preserve"> </w:t>
            </w:r>
            <w:r>
              <w:rPr>
                <w:rStyle w:val="VerbatimChar"/>
              </w:rPr>
              <w:t xml:space="preserve">export_my_data()</w:t>
            </w:r>
            <w:r>
              <w:t xml:space="preserve"> </w:t>
            </w:r>
            <w:r>
              <w:t xml:space="preserve">accesible desde Ajustes</w:t>
            </w:r>
          </w:p>
        </w:tc>
        <w:tc>
          <w:tcPr/>
          <w:p>
            <w:pPr>
              <w:pStyle w:val="Compact"/>
            </w:pPr>
            <w:r>
              <w:t xml:space="preserve">Inmediato (&lt;1 minuto)</w:t>
            </w:r>
          </w:p>
        </w:tc>
      </w:tr>
      <w:tr>
        <w:tc>
          <w:tcPr/>
          <w:p>
            <w:pPr>
              <w:pStyle w:val="Compact"/>
            </w:pPr>
            <w:r>
              <w:t xml:space="preserve">Rectificación</w:t>
            </w:r>
          </w:p>
        </w:tc>
        <w:tc>
          <w:tcPr/>
          <w:p>
            <w:pPr>
              <w:pStyle w:val="Compact"/>
            </w:pPr>
            <w:r>
              <w:t xml:space="preserve">16</w:t>
            </w:r>
          </w:p>
        </w:tc>
        <w:tc>
          <w:tcPr/>
          <w:p>
            <w:pPr>
              <w:pStyle w:val="Compact"/>
            </w:pPr>
            <w:r>
              <w:rPr>
                <w:rStyle w:val="VerbatimChar"/>
              </w:rPr>
              <w:t xml:space="preserve">/edit-profile</w:t>
            </w:r>
          </w:p>
        </w:tc>
        <w:tc>
          <w:tcPr/>
          <w:p>
            <w:pPr>
              <w:pStyle w:val="Compact"/>
            </w:pPr>
            <w:r>
              <w:t xml:space="preserve">Inmediato</w:t>
            </w:r>
          </w:p>
        </w:tc>
      </w:tr>
      <w:tr>
        <w:tc>
          <w:tcPr/>
          <w:p>
            <w:pPr>
              <w:pStyle w:val="Compact"/>
            </w:pPr>
            <w:r>
              <w:t xml:space="preserve">Supresión</w:t>
            </w:r>
          </w:p>
        </w:tc>
        <w:tc>
          <w:tcPr/>
          <w:p>
            <w:pPr>
              <w:pStyle w:val="Compact"/>
            </w:pPr>
            <w:r>
              <w:t xml:space="preserve">17</w:t>
            </w:r>
          </w:p>
        </w:tc>
        <w:tc>
          <w:tcPr/>
          <w:p>
            <w:pPr>
              <w:pStyle w:val="Compact"/>
            </w:pPr>
            <w:r>
              <w:rPr>
                <w:rStyle w:val="VerbatimChar"/>
              </w:rPr>
              <w:t xml:space="preserve">request_account_deletion()</w:t>
            </w:r>
            <w:r>
              <w:t xml:space="preserve"> </w:t>
            </w:r>
            <w:r>
              <w:t xml:space="preserve">desde Ajustes</w:t>
            </w:r>
          </w:p>
        </w:tc>
        <w:tc>
          <w:tcPr/>
          <w:p>
            <w:pPr>
              <w:pStyle w:val="Compact"/>
            </w:pPr>
            <w:r>
              <w:t xml:space="preserve">Inmediato, borrado total ≤30 días</w:t>
            </w:r>
          </w:p>
        </w:tc>
      </w:tr>
      <w:tr>
        <w:tc>
          <w:tcPr/>
          <w:p>
            <w:pPr>
              <w:pStyle w:val="Compact"/>
            </w:pPr>
            <w:r>
              <w:t xml:space="preserve">Limitación</w:t>
            </w:r>
          </w:p>
        </w:tc>
        <w:tc>
          <w:tcPr/>
          <w:p>
            <w:pPr>
              <w:pStyle w:val="Compact"/>
            </w:pPr>
            <w:r>
              <w:t xml:space="preserve">18</w:t>
            </w:r>
          </w:p>
        </w:tc>
        <w:tc>
          <w:tcPr/>
          <w:p>
            <w:pPr>
              <w:pStyle w:val="Compact"/>
            </w:pPr>
            <w:r>
              <w:rPr>
                <w:rStyle w:val="VerbatimChar"/>
              </w:rPr>
              <w:t xml:space="preserve">dpo@aurun.app</w:t>
            </w:r>
          </w:p>
        </w:tc>
        <w:tc>
          <w:tcPr/>
          <w:p>
            <w:pPr>
              <w:pStyle w:val="Compact"/>
            </w:pPr>
            <w:r>
              <w:t xml:space="preserve">30 días</w:t>
            </w:r>
          </w:p>
        </w:tc>
      </w:tr>
      <w:tr>
        <w:tc>
          <w:tcPr/>
          <w:p>
            <w:pPr>
              <w:pStyle w:val="Compact"/>
            </w:pPr>
            <w:r>
              <w:t xml:space="preserve">Portabilidad</w:t>
            </w:r>
          </w:p>
        </w:tc>
        <w:tc>
          <w:tcPr/>
          <w:p>
            <w:pPr>
              <w:pStyle w:val="Compact"/>
            </w:pPr>
            <w:r>
              <w:t xml:space="preserve">20</w:t>
            </w:r>
          </w:p>
        </w:tc>
        <w:tc>
          <w:tcPr/>
          <w:p>
            <w:pPr>
              <w:pStyle w:val="Compact"/>
            </w:pPr>
            <w:r>
              <w:t xml:space="preserve">Función</w:t>
            </w:r>
            <w:r>
              <w:t xml:space="preserve"> </w:t>
            </w:r>
            <w:r>
              <w:rPr>
                <w:rStyle w:val="VerbatimChar"/>
              </w:rPr>
              <w:t xml:space="preserve">export_my_data()</w:t>
            </w:r>
            <w:r>
              <w:t xml:space="preserve"> </w:t>
            </w:r>
            <w:r>
              <w:t xml:space="preserve">en JSON estructurado</w:t>
            </w:r>
          </w:p>
        </w:tc>
        <w:tc>
          <w:tcPr/>
          <w:p>
            <w:pPr>
              <w:pStyle w:val="Compact"/>
            </w:pPr>
            <w:r>
              <w:t xml:space="preserve">Inmediato</w:t>
            </w:r>
          </w:p>
        </w:tc>
      </w:tr>
      <w:tr>
        <w:tc>
          <w:tcPr/>
          <w:p>
            <w:pPr>
              <w:pStyle w:val="Compact"/>
            </w:pPr>
            <w:r>
              <w:t xml:space="preserve">Oposición</w:t>
            </w:r>
          </w:p>
        </w:tc>
        <w:tc>
          <w:tcPr/>
          <w:p>
            <w:pPr>
              <w:pStyle w:val="Compact"/>
            </w:pPr>
            <w:r>
              <w:t xml:space="preserve">21</w:t>
            </w:r>
          </w:p>
        </w:tc>
        <w:tc>
          <w:tcPr/>
          <w:p>
            <w:pPr>
              <w:pStyle w:val="Compact"/>
            </w:pPr>
            <w:r>
              <w:t xml:space="preserve">Opt-out de IA matching desde Ajustes</w:t>
            </w:r>
          </w:p>
        </w:tc>
        <w:tc>
          <w:tcPr/>
          <w:p>
            <w:pPr>
              <w:pStyle w:val="Compact"/>
            </w:pPr>
            <w:r>
              <w:t xml:space="preserve">Inmediato</w:t>
            </w:r>
          </w:p>
        </w:tc>
      </w:tr>
      <w:tr>
        <w:tc>
          <w:tcPr/>
          <w:p>
            <w:pPr>
              <w:pStyle w:val="Compact"/>
            </w:pPr>
            <w:r>
              <w:t xml:space="preserve">Decisiones automatizadas</w:t>
            </w:r>
          </w:p>
        </w:tc>
        <w:tc>
          <w:tcPr/>
          <w:p>
            <w:pPr>
              <w:pStyle w:val="Compact"/>
            </w:pPr>
            <w:r>
              <w:t xml:space="preserve">22</w:t>
            </w:r>
          </w:p>
        </w:tc>
        <w:tc>
          <w:tcPr/>
          <w:p>
            <w:pPr>
              <w:pStyle w:val="Compact"/>
            </w:pPr>
            <w:r>
              <w:t xml:space="preserve">No se toman decisiones automatizadas con efectos jurídicos. VAR siempre tiene revisión humana</w:t>
            </w:r>
          </w:p>
        </w:tc>
        <w:tc>
          <w:tcPr/>
          <w:p>
            <w:pPr>
              <w:pStyle w:val="Compact"/>
            </w:pPr>
            <w:r>
              <w:t xml:space="preserve">Por defecto</w:t>
            </w:r>
          </w:p>
        </w:tc>
      </w:tr>
    </w:tbl>
    <w:p>
      <w:pPr>
        <w:pStyle w:val="BodyText"/>
      </w:pPr>
      <w:r>
        <w:t xml:space="preserve">Todos los derechos son</w:t>
      </w:r>
      <w:r>
        <w:t xml:space="preserve"> </w:t>
      </w:r>
      <w:r>
        <w:rPr>
          <w:b/>
          <w:bCs/>
        </w:rPr>
        <w:t xml:space="preserve">ejercitables desde la propia app</w:t>
      </w:r>
      <w:r>
        <w:t xml:space="preserve">, sin necesidad de formularios externos. Esto excede el estándar de la mayoría de competidores y demuestra</w:t>
      </w:r>
      <w:r>
        <w:t xml:space="preserve"> </w:t>
      </w:r>
      <w:r>
        <w:rPr>
          <w:b/>
          <w:bCs/>
        </w:rPr>
        <w:t xml:space="preserve">privacy-by-default</w:t>
      </w:r>
      <w:r>
        <w:t xml:space="preserve">.</w:t>
      </w:r>
    </w:p>
    <w:p>
      <w:r>
        <w:pict>
          <v:rect style="width:0;height:1.5pt" o:hralign="center" o:hrstd="t" o:hr="t"/>
        </w:pict>
      </w:r>
    </w:p>
    <w:bookmarkEnd w:id="48"/>
    <w:bookmarkStart w:id="49" w:name="X7b6494246c177c3401bd021fb8d19bb3e3cb6c4"/>
    <w:p>
      <w:pPr>
        <w:pStyle w:val="Heading1"/>
      </w:pPr>
      <w:r>
        <w:t xml:space="preserve">6. Cumplimiento del AI Act — clasificación de nuestros sistemas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Sistema de IA</w:t>
            </w:r>
          </w:p>
        </w:tc>
        <w:tc>
          <w:tcPr/>
          <w:p>
            <w:pPr>
              <w:pStyle w:val="Compact"/>
            </w:pPr>
            <w:r>
              <w:t xml:space="preserve">Clasificación AI Act</w:t>
            </w:r>
          </w:p>
        </w:tc>
        <w:tc>
          <w:tcPr/>
          <w:p>
            <w:pPr>
              <w:pStyle w:val="Compact"/>
            </w:pPr>
            <w:r>
              <w:t xml:space="preserve">Justificación</w:t>
            </w:r>
          </w:p>
        </w:tc>
        <w:tc>
          <w:tcPr/>
          <w:p>
            <w:pPr>
              <w:pStyle w:val="Compact"/>
            </w:pPr>
            <w:r>
              <w:t xml:space="preserve">Obligaciones cumplidas</w:t>
            </w:r>
          </w:p>
        </w:tc>
      </w:tr>
      <w:tr>
        <w:tc>
          <w:tcPr/>
          <w:p>
            <w:pPr>
              <w:pStyle w:val="Compact"/>
            </w:pPr>
            <w:r>
              <w:t xml:space="preserve">Cupido (matching)</w:t>
            </w:r>
          </w:p>
        </w:tc>
        <w:tc>
          <w:tcPr/>
          <w:p>
            <w:pPr>
              <w:pStyle w:val="Compact"/>
            </w:pPr>
            <w:r>
              <w:t xml:space="preserve">Riesgo</w:t>
            </w:r>
            <w:r>
              <w:t xml:space="preserve"> </w:t>
            </w:r>
            <w:r>
              <w:rPr>
                <w:b/>
                <w:bCs/>
              </w:rPr>
              <w:t xml:space="preserve">limitado</w:t>
            </w:r>
          </w:p>
        </w:tc>
        <w:tc>
          <w:tcPr/>
          <w:p>
            <w:pPr>
              <w:pStyle w:val="Compact"/>
            </w:pPr>
            <w:r>
              <w:t xml:space="preserve">No produce decisiones jurídicas. Sugerencias revisables por el usuario.</w:t>
            </w:r>
          </w:p>
        </w:tc>
        <w:tc>
          <w:tcPr/>
          <w:p>
            <w:pPr>
              <w:pStyle w:val="Compact"/>
            </w:pPr>
            <w:r>
              <w:t xml:space="preserve">Transparencia (art. 50), opt-out, explicación de la lógica.</w:t>
            </w:r>
          </w:p>
        </w:tc>
      </w:tr>
      <w:tr>
        <w:tc>
          <w:tcPr/>
          <w:p>
            <w:pPr>
              <w:pStyle w:val="Compact"/>
            </w:pPr>
            <w:r>
              <w:t xml:space="preserve">Análisis de calidad de vídeo</w:t>
            </w:r>
          </w:p>
        </w:tc>
        <w:tc>
          <w:tcPr/>
          <w:p>
            <w:pPr>
              <w:pStyle w:val="Compact"/>
            </w:pPr>
            <w:r>
              <w:t xml:space="preserve">Riesgo</w:t>
            </w:r>
            <w:r>
              <w:t xml:space="preserve"> </w:t>
            </w:r>
            <w:r>
              <w:rPr>
                <w:b/>
                <w:bCs/>
              </w:rPr>
              <w:t xml:space="preserve">mínimo</w:t>
            </w:r>
          </w:p>
        </w:tc>
        <w:tc>
          <w:tcPr/>
          <w:p>
            <w:pPr>
              <w:pStyle w:val="Compact"/>
            </w:pPr>
            <w:r>
              <w:t xml:space="preserve">No biométrico, no emocional. Solo métricas técnicas.</w:t>
            </w:r>
          </w:p>
        </w:tc>
        <w:tc>
          <w:tcPr/>
          <w:p>
            <w:pPr>
              <w:pStyle w:val="Compact"/>
            </w:pPr>
            <w:r>
              <w:t xml:space="preserve">Documentado en</w:t>
            </w:r>
            <w:r>
              <w:t xml:space="preserve"> </w:t>
            </w:r>
            <w:r>
              <w:rPr>
                <w:rStyle w:val="VerbatimChar"/>
              </w:rPr>
              <w:t xml:space="preserve">/ai-transparency</w:t>
            </w:r>
            <w:r>
              <w:t xml:space="preserve">.</w:t>
            </w:r>
          </w:p>
        </w:tc>
      </w:tr>
      <w:tr>
        <w:tc>
          <w:tcPr/>
          <w:p>
            <w:pPr>
              <w:pStyle w:val="Compact"/>
            </w:pPr>
            <w:r>
              <w:t xml:space="preserve">VAR</w:t>
            </w:r>
          </w:p>
        </w:tc>
        <w:tc>
          <w:tcPr/>
          <w:p>
            <w:pPr>
              <w:pStyle w:val="Compact"/>
            </w:pPr>
            <w:r>
              <w:t xml:space="preserve">Riesgo</w:t>
            </w:r>
            <w:r>
              <w:t xml:space="preserve"> </w:t>
            </w:r>
            <w:r>
              <w:rPr>
                <w:b/>
                <w:bCs/>
              </w:rPr>
              <w:t xml:space="preserve">limitado</w:t>
            </w:r>
            <w:r>
              <w:t xml:space="preserve"> </w:t>
            </w:r>
            <w:r>
              <w:t xml:space="preserve">con salvaguardas</w:t>
            </w:r>
          </w:p>
        </w:tc>
        <w:tc>
          <w:tcPr/>
          <w:p>
            <w:pPr>
              <w:pStyle w:val="Compact"/>
            </w:pPr>
            <w:r>
              <w:t xml:space="preserve">Revisión humana obligatoria, sin automatismo.</w:t>
            </w:r>
          </w:p>
        </w:tc>
        <w:tc>
          <w:tcPr/>
          <w:p>
            <w:pPr>
              <w:pStyle w:val="Compact"/>
            </w:pPr>
            <w:r>
              <w:t xml:space="preserve">Art. 22 RGPD + transparencia.</w:t>
            </w:r>
          </w:p>
        </w:tc>
      </w:tr>
      <w:tr>
        <w:tc>
          <w:tcPr/>
          <w:p>
            <w:pPr>
              <w:pStyle w:val="Compact"/>
            </w:pPr>
            <w:r>
              <w:t xml:space="preserve">Test Bots</w:t>
            </w:r>
          </w:p>
        </w:tc>
        <w:tc>
          <w:tcPr/>
          <w:p>
            <w:pPr>
              <w:pStyle w:val="Compact"/>
            </w:pPr>
            <w:r>
              <w:t xml:space="preserve">Riesgo</w:t>
            </w:r>
            <w:r>
              <w:t xml:space="preserve"> </w:t>
            </w:r>
            <w:r>
              <w:rPr>
                <w:b/>
                <w:bCs/>
              </w:rPr>
              <w:t xml:space="preserve">limitado</w:t>
            </w:r>
          </w:p>
        </w:tc>
        <w:tc>
          <w:tcPr/>
          <w:p>
            <w:pPr>
              <w:pStyle w:val="Compact"/>
            </w:pPr>
            <w:r>
              <w:t xml:space="preserve">Identificados como IA en feed.</w:t>
            </w:r>
          </w:p>
        </w:tc>
        <w:tc>
          <w:tcPr/>
          <w:p>
            <w:pPr>
              <w:pStyle w:val="Compact"/>
            </w:pPr>
            <w:r>
              <w:t xml:space="preserve">Art. 50 AI Act cumplido.</w:t>
            </w:r>
          </w:p>
        </w:tc>
      </w:tr>
    </w:tbl>
    <w:p>
      <w:pPr>
        <w:pStyle w:val="BodyText"/>
      </w:pPr>
      <w:r>
        <w:rPr>
          <w:b/>
          <w:bCs/>
        </w:rPr>
        <w:t xml:space="preserve">Sistemas que NO operamos</w:t>
      </w:r>
      <w:r>
        <w:t xml:space="preserve"> </w:t>
      </w:r>
      <w:r>
        <w:t xml:space="preserve">(prohibidos por art. 5 AI Act):</w:t>
      </w:r>
    </w:p>
    <w:p>
      <w:pPr>
        <w:pStyle w:val="Compact"/>
        <w:numPr>
          <w:ilvl w:val="0"/>
          <w:numId w:val="1024"/>
        </w:numPr>
      </w:pPr>
      <w:r>
        <w:t xml:space="preserve">Categorización biométrica para inferir características sensibles →</w:t>
      </w:r>
      <w:r>
        <w:t xml:space="preserve"> </w:t>
      </w:r>
      <w:r>
        <w:rPr>
          <w:b/>
          <w:bCs/>
        </w:rPr>
        <w:t xml:space="preserve">eliminado</w:t>
      </w:r>
      <w:r>
        <w:t xml:space="preserve">.</w:t>
      </w:r>
    </w:p>
    <w:p>
      <w:pPr>
        <w:pStyle w:val="Compact"/>
        <w:numPr>
          <w:ilvl w:val="0"/>
          <w:numId w:val="1024"/>
        </w:numPr>
      </w:pPr>
      <w:r>
        <w:t xml:space="preserve">Reconocimiento de emociones en entorno laboral o educativo →</w:t>
      </w:r>
      <w:r>
        <w:t xml:space="preserve"> </w:t>
      </w:r>
      <w:r>
        <w:rPr>
          <w:b/>
          <w:bCs/>
        </w:rPr>
        <w:t xml:space="preserve">nunca operado</w:t>
      </w:r>
      <w:r>
        <w:t xml:space="preserve">.</w:t>
      </w:r>
    </w:p>
    <w:p>
      <w:pPr>
        <w:pStyle w:val="Compact"/>
        <w:numPr>
          <w:ilvl w:val="0"/>
          <w:numId w:val="1024"/>
        </w:numPr>
      </w:pPr>
      <w:r>
        <w:t xml:space="preserve">Scoring social →</w:t>
      </w:r>
      <w:r>
        <w:t xml:space="preserve"> </w:t>
      </w:r>
      <w:r>
        <w:rPr>
          <w:b/>
          <w:bCs/>
        </w:rPr>
        <w:t xml:space="preserve">nunca operado</w:t>
      </w:r>
      <w:r>
        <w:t xml:space="preserve">.</w:t>
      </w:r>
    </w:p>
    <w:p>
      <w:pPr>
        <w:pStyle w:val="Compact"/>
        <w:numPr>
          <w:ilvl w:val="0"/>
          <w:numId w:val="1024"/>
        </w:numPr>
      </w:pPr>
      <w:r>
        <w:t xml:space="preserve">Manipulación subliminal →</w:t>
      </w:r>
      <w:r>
        <w:t xml:space="preserve"> </w:t>
      </w:r>
      <w:r>
        <w:rPr>
          <w:b/>
          <w:bCs/>
        </w:rPr>
        <w:t xml:space="preserve">nunca operado</w:t>
      </w:r>
      <w:r>
        <w:t xml:space="preserve">.</w:t>
      </w:r>
    </w:p>
    <w:p>
      <w:pPr>
        <w:pStyle w:val="Compact"/>
        <w:numPr>
          <w:ilvl w:val="0"/>
          <w:numId w:val="1024"/>
        </w:numPr>
      </w:pPr>
      <w:r>
        <w:t xml:space="preserve">Identificación biométrica remota en tiempo real →</w:t>
      </w:r>
      <w:r>
        <w:t xml:space="preserve"> </w:t>
      </w:r>
      <w:r>
        <w:rPr>
          <w:b/>
          <w:bCs/>
        </w:rPr>
        <w:t xml:space="preserve">nunca operada</w:t>
      </w:r>
      <w:r>
        <w:t xml:space="preserve">.</w:t>
      </w:r>
    </w:p>
    <w:p>
      <w:r>
        <w:pict>
          <v:rect style="width:0;height:1.5pt" o:hralign="center" o:hrstd="t" o:hr="t"/>
        </w:pict>
      </w:r>
    </w:p>
    <w:bookmarkEnd w:id="49"/>
    <w:bookmarkStart w:id="50" w:name="protección-de-menores"/>
    <w:p>
      <w:pPr>
        <w:pStyle w:val="Heading1"/>
      </w:pPr>
      <w:r>
        <w:t xml:space="preserve">7. Protección de menores</w:t>
      </w:r>
    </w:p>
    <w:p>
      <w:pPr>
        <w:pStyle w:val="Compact"/>
        <w:numPr>
          <w:ilvl w:val="0"/>
          <w:numId w:val="1025"/>
        </w:numPr>
      </w:pPr>
      <w:r>
        <w:rPr>
          <w:b/>
          <w:bCs/>
        </w:rPr>
        <w:t xml:space="preserve">Edad mínima: 18 años</w:t>
      </w:r>
      <w:r>
        <w:t xml:space="preserve">, validada por trigger SQL</w:t>
      </w:r>
      <w:r>
        <w:t xml:space="preserve"> </w:t>
      </w:r>
      <w:r>
        <w:rPr>
          <w:rStyle w:val="VerbatimChar"/>
        </w:rPr>
        <w:t xml:space="preserve">validate_birth_date()</w:t>
      </w:r>
      <w:r>
        <w:t xml:space="preserve"> </w:t>
      </w:r>
      <w:r>
        <w:t xml:space="preserve">que rechaza cualquier registro con menos de 18 años.</w:t>
      </w:r>
    </w:p>
    <w:p>
      <w:pPr>
        <w:pStyle w:val="Compact"/>
        <w:numPr>
          <w:ilvl w:val="0"/>
          <w:numId w:val="1025"/>
        </w:numPr>
      </w:pPr>
      <w:r>
        <w:t xml:space="preserve">La fecha de nacimiento no es modificable por el usuario tras su verificación inicial; solo administrador.</w:t>
      </w:r>
    </w:p>
    <w:p>
      <w:pPr>
        <w:pStyle w:val="Compact"/>
        <w:numPr>
          <w:ilvl w:val="0"/>
          <w:numId w:val="1025"/>
        </w:numPr>
      </w:pPr>
      <w:r>
        <w:t xml:space="preserve">Política de tolerancia cero: cualquier perfil sospechoso de pertenecer a un menor se suspende preventivamente y se revisa manualmente.</w:t>
      </w:r>
    </w:p>
    <w:p>
      <w:pPr>
        <w:pStyle w:val="FirstParagraph"/>
      </w:pPr>
      <w:r>
        <w:t xml:space="preserve">Esto cumple el artículo 92 LOPDGDD y la jurisprudencia AEPD sobre apps sociales.</w:t>
      </w:r>
    </w:p>
    <w:p>
      <w:r>
        <w:pict>
          <v:rect style="width:0;height:1.5pt" o:hralign="center" o:hrstd="t" o:hr="t"/>
        </w:pict>
      </w:r>
    </w:p>
    <w:bookmarkEnd w:id="50"/>
    <w:bookmarkStart w:id="51" w:name="transferencias-internacionales"/>
    <w:p>
      <w:pPr>
        <w:pStyle w:val="Heading1"/>
      </w:pPr>
      <w:r>
        <w:t xml:space="preserve">8. Transferencias internacionales</w:t>
      </w:r>
    </w:p>
    <w:p>
      <w:pPr>
        <w:pStyle w:val="FirstParagraph"/>
      </w:pPr>
      <w:r>
        <w:t xml:space="preserve">Algunos proveedores (Lovable AI Gateway, que enruta peticiones a Google y OpenAI) están en EE. UU. Las transferencias se realizan bajo:</w:t>
      </w:r>
    </w:p>
    <w:p>
      <w:pPr>
        <w:pStyle w:val="Compact"/>
        <w:numPr>
          <w:ilvl w:val="0"/>
          <w:numId w:val="1026"/>
        </w:numPr>
      </w:pPr>
      <w:r>
        <w:rPr>
          <w:b/>
          <w:bCs/>
        </w:rPr>
        <w:t xml:space="preserve">Cláusulas Contractuales Tipo (SCC)</w:t>
      </w:r>
      <w:r>
        <w:t xml:space="preserve"> </w:t>
      </w:r>
      <w:r>
        <w:t xml:space="preserve">aprobadas por la Decisión 2021/914/UE.</w:t>
      </w:r>
    </w:p>
    <w:p>
      <w:pPr>
        <w:pStyle w:val="Compact"/>
        <w:numPr>
          <w:ilvl w:val="0"/>
          <w:numId w:val="1026"/>
        </w:numPr>
      </w:pPr>
      <w:r>
        <w:t xml:space="preserve">Marco</w:t>
      </w:r>
      <w:r>
        <w:t xml:space="preserve"> </w:t>
      </w:r>
      <w:r>
        <w:rPr>
          <w:b/>
          <w:bCs/>
        </w:rPr>
        <w:t xml:space="preserve">Data Privacy Framework (DPF)</w:t>
      </w:r>
      <w:r>
        <w:t xml:space="preserve"> </w:t>
      </w:r>
      <w:r>
        <w:t xml:space="preserve">cuando aplica.</w:t>
      </w:r>
    </w:p>
    <w:p>
      <w:pPr>
        <w:pStyle w:val="Compact"/>
        <w:numPr>
          <w:ilvl w:val="0"/>
          <w:numId w:val="1026"/>
        </w:numPr>
      </w:pPr>
      <w:r>
        <w:t xml:space="preserve">Ningún dato biométrico, documento de identidad ni dato sensible se envía a estos modelos.</w:t>
      </w:r>
    </w:p>
    <w:p>
      <w:pPr>
        <w:pStyle w:val="Compact"/>
        <w:numPr>
          <w:ilvl w:val="0"/>
          <w:numId w:val="1026"/>
        </w:numPr>
      </w:pPr>
      <w:r>
        <w:t xml:space="preserve">Solo se envían: texto del perfil (bio, ciudad, intereses) y prompts sintéticos generados desde el contexto del usuario.</w:t>
      </w:r>
    </w:p>
    <w:p>
      <w:r>
        <w:pict>
          <v:rect style="width:0;height:1.5pt" o:hralign="center" o:hrstd="t" o:hr="t"/>
        </w:pict>
      </w:r>
    </w:p>
    <w:bookmarkEnd w:id="51"/>
    <w:bookmarkStart w:id="52" w:name="seguridad-técnica"/>
    <w:p>
      <w:pPr>
        <w:pStyle w:val="Heading1"/>
      </w:pPr>
      <w:r>
        <w:t xml:space="preserve">9. Seguridad técnica</w:t>
      </w:r>
    </w:p>
    <w:p>
      <w:pPr>
        <w:pStyle w:val="Compact"/>
        <w:numPr>
          <w:ilvl w:val="0"/>
          <w:numId w:val="1027"/>
        </w:numPr>
      </w:pPr>
      <w:r>
        <w:rPr>
          <w:b/>
          <w:bCs/>
        </w:rPr>
        <w:t xml:space="preserve">Cifrado en tránsito</w:t>
      </w:r>
      <w:r>
        <w:t xml:space="preserve">: TLS 1.3.</w:t>
      </w:r>
    </w:p>
    <w:p>
      <w:pPr>
        <w:pStyle w:val="Compact"/>
        <w:numPr>
          <w:ilvl w:val="0"/>
          <w:numId w:val="1027"/>
        </w:numPr>
      </w:pPr>
      <w:r>
        <w:rPr>
          <w:b/>
          <w:bCs/>
        </w:rPr>
        <w:t xml:space="preserve">Cifrado en reposo</w:t>
      </w:r>
      <w:r>
        <w:t xml:space="preserve">: AES-256 a nivel de Supabase.</w:t>
      </w:r>
    </w:p>
    <w:p>
      <w:pPr>
        <w:pStyle w:val="Compact"/>
        <w:numPr>
          <w:ilvl w:val="0"/>
          <w:numId w:val="1027"/>
        </w:numPr>
      </w:pPr>
      <w:r>
        <w:rPr>
          <w:b/>
          <w:bCs/>
        </w:rPr>
        <w:t xml:space="preserve">RLS</w:t>
      </w:r>
      <w:r>
        <w:t xml:space="preserve"> </w:t>
      </w:r>
      <w:r>
        <w:t xml:space="preserve">en todas las tablas con datos personales.</w:t>
      </w:r>
    </w:p>
    <w:p>
      <w:pPr>
        <w:pStyle w:val="Compact"/>
        <w:numPr>
          <w:ilvl w:val="0"/>
          <w:numId w:val="1027"/>
        </w:numPr>
      </w:pPr>
      <w:r>
        <w:rPr>
          <w:b/>
          <w:bCs/>
        </w:rPr>
        <w:t xml:space="preserve">Roles en tabla separada</w:t>
      </w:r>
      <w:r>
        <w:t xml:space="preserve"> </w:t>
      </w:r>
      <w:r>
        <w:t xml:space="preserve">(</w:t>
      </w:r>
      <w:r>
        <w:rPr>
          <w:rStyle w:val="VerbatimChar"/>
        </w:rPr>
        <w:t xml:space="preserve">user_roles</w:t>
      </w:r>
      <w:r>
        <w:t xml:space="preserve">) con función</w:t>
      </w:r>
      <w:r>
        <w:t xml:space="preserve"> </w:t>
      </w:r>
      <w:r>
        <w:rPr>
          <w:rStyle w:val="VerbatimChar"/>
        </w:rPr>
        <w:t xml:space="preserve">SECURITY DEFINER</w:t>
      </w:r>
      <w:r>
        <w:t xml:space="preserve"> </w:t>
      </w:r>
      <w:r>
        <w:rPr>
          <w:rStyle w:val="VerbatimChar"/>
        </w:rPr>
        <w:t xml:space="preserve">has_role()</w:t>
      </w:r>
      <w:r>
        <w:t xml:space="preserve"> </w:t>
      </w:r>
      <w:r>
        <w:t xml:space="preserve">para evitar privilegios escalados desde el cliente.</w:t>
      </w:r>
    </w:p>
    <w:p>
      <w:pPr>
        <w:pStyle w:val="Compact"/>
        <w:numPr>
          <w:ilvl w:val="0"/>
          <w:numId w:val="1027"/>
        </w:numPr>
      </w:pPr>
      <w:r>
        <w:rPr>
          <w:b/>
          <w:bCs/>
        </w:rPr>
        <w:t xml:space="preserve">Buckets privados</w:t>
      </w:r>
      <w:r>
        <w:t xml:space="preserve"> </w:t>
      </w:r>
      <w:r>
        <w:t xml:space="preserve">para datos sensibles (</w:t>
      </w:r>
      <w:r>
        <w:rPr>
          <w:rStyle w:val="VerbatimChar"/>
        </w:rPr>
        <w:t xml:space="preserve">videos</w:t>
      </w:r>
      <w:r>
        <w:t xml:space="preserve">,</w:t>
      </w:r>
      <w:r>
        <w:t xml:space="preserve"> </w:t>
      </w:r>
      <w:r>
        <w:rPr>
          <w:rStyle w:val="VerbatimChar"/>
        </w:rPr>
        <w:t xml:space="preserve">selfies</w:t>
      </w:r>
      <w:r>
        <w:t xml:space="preserve">,</w:t>
      </w:r>
      <w:r>
        <w:t xml:space="preserve"> </w:t>
      </w:r>
      <w:r>
        <w:rPr>
          <w:rStyle w:val="VerbatimChar"/>
        </w:rPr>
        <w:t xml:space="preserve">id-documents</w:t>
      </w:r>
      <w:r>
        <w:t xml:space="preserve">).</w:t>
      </w:r>
    </w:p>
    <w:p>
      <w:pPr>
        <w:pStyle w:val="Compact"/>
        <w:numPr>
          <w:ilvl w:val="0"/>
          <w:numId w:val="1027"/>
        </w:numPr>
      </w:pPr>
      <w:r>
        <w:rPr>
          <w:b/>
          <w:bCs/>
        </w:rPr>
        <w:t xml:space="preserve">Rate limiting</w:t>
      </w:r>
      <w:r>
        <w:t xml:space="preserve"> </w:t>
      </w:r>
      <w:r>
        <w:t xml:space="preserve">en endpoints sensibles.</w:t>
      </w:r>
    </w:p>
    <w:p>
      <w:pPr>
        <w:pStyle w:val="Compact"/>
        <w:numPr>
          <w:ilvl w:val="0"/>
          <w:numId w:val="1027"/>
        </w:numPr>
      </w:pPr>
      <w:r>
        <w:rPr>
          <w:b/>
          <w:bCs/>
        </w:rPr>
        <w:t xml:space="preserve">Auditoría</w:t>
      </w:r>
      <w:r>
        <w:t xml:space="preserve">: tabla</w:t>
      </w:r>
      <w:r>
        <w:t xml:space="preserve"> </w:t>
      </w:r>
      <w:r>
        <w:rPr>
          <w:rStyle w:val="VerbatimChar"/>
        </w:rPr>
        <w:t xml:space="preserve">privacy_audit_log</w:t>
      </w:r>
      <w:r>
        <w:t xml:space="preserve"> </w:t>
      </w:r>
      <w:r>
        <w:t xml:space="preserve">registra consentimientos, exportaciones, eliminaciones y limpiezas.</w:t>
      </w:r>
    </w:p>
    <w:p>
      <w:pPr>
        <w:pStyle w:val="Compact"/>
        <w:numPr>
          <w:ilvl w:val="0"/>
          <w:numId w:val="1027"/>
        </w:numPr>
      </w:pPr>
      <w:r>
        <w:rPr>
          <w:b/>
          <w:bCs/>
        </w:rPr>
        <w:t xml:space="preserve">Plan de respuesta a incidentes</w:t>
      </w:r>
      <w:r>
        <w:t xml:space="preserve"> </w:t>
      </w:r>
      <w:r>
        <w:t xml:space="preserve">documentado: notificación a AEPD en &lt;72h y a afectados sin demora indebida.</w:t>
      </w:r>
    </w:p>
    <w:p>
      <w:r>
        <w:pict>
          <v:rect style="width:0;height:1.5pt" o:hralign="center" o:hrstd="t" o:hr="t"/>
        </w:pict>
      </w:r>
    </w:p>
    <w:bookmarkEnd w:id="52"/>
    <w:bookmarkStart w:id="53" w:name="documentación-legal-y-gobernanza"/>
    <w:p>
      <w:pPr>
        <w:pStyle w:val="Heading1"/>
      </w:pPr>
      <w:r>
        <w:t xml:space="preserve">10. Documentación legal y gobernanza</w:t>
      </w:r>
    </w:p>
    <w:p>
      <w:pPr>
        <w:pStyle w:val="Compact"/>
        <w:numPr>
          <w:ilvl w:val="0"/>
          <w:numId w:val="1028"/>
        </w:numPr>
      </w:pPr>
      <w:r>
        <w:rPr>
          <w:b/>
          <w:bCs/>
        </w:rPr>
        <w:t xml:space="preserve">Política de privacidad</w:t>
      </w:r>
      <w:r>
        <w:t xml:space="preserve"> </w:t>
      </w:r>
      <w:r>
        <w:t xml:space="preserve">completa y actualizada (</w:t>
      </w:r>
      <w:r>
        <w:rPr>
          <w:rStyle w:val="VerbatimChar"/>
        </w:rPr>
        <w:t xml:space="preserve">/privacy</w:t>
      </w:r>
      <w:r>
        <w:t xml:space="preserve">).</w:t>
      </w:r>
    </w:p>
    <w:p>
      <w:pPr>
        <w:pStyle w:val="Compact"/>
        <w:numPr>
          <w:ilvl w:val="0"/>
          <w:numId w:val="1028"/>
        </w:numPr>
      </w:pPr>
      <w:r>
        <w:rPr>
          <w:b/>
          <w:bCs/>
        </w:rPr>
        <w:t xml:space="preserve">Términos de servicio</w:t>
      </w:r>
      <w:r>
        <w:t xml:space="preserve"> </w:t>
      </w:r>
      <w:r>
        <w:t xml:space="preserve">(</w:t>
      </w:r>
      <w:r>
        <w:rPr>
          <w:rStyle w:val="VerbatimChar"/>
        </w:rPr>
        <w:t xml:space="preserve">/terms</w:t>
      </w:r>
      <w:r>
        <w:t xml:space="preserve">).</w:t>
      </w:r>
    </w:p>
    <w:p>
      <w:pPr>
        <w:pStyle w:val="Compact"/>
        <w:numPr>
          <w:ilvl w:val="0"/>
          <w:numId w:val="1028"/>
        </w:numPr>
      </w:pPr>
      <w:r>
        <w:rPr>
          <w:b/>
          <w:bCs/>
        </w:rPr>
        <w:t xml:space="preserve">Página de transparencia algorítmica</w:t>
      </w:r>
      <w:r>
        <w:t xml:space="preserve"> </w:t>
      </w:r>
      <w:r>
        <w:t xml:space="preserve">(</w:t>
      </w:r>
      <w:r>
        <w:rPr>
          <w:rStyle w:val="VerbatimChar"/>
        </w:rPr>
        <w:t xml:space="preserve">/ai-transparency</w:t>
      </w:r>
      <w:r>
        <w:t xml:space="preserve">).</w:t>
      </w:r>
    </w:p>
    <w:p>
      <w:pPr>
        <w:pStyle w:val="Compact"/>
        <w:numPr>
          <w:ilvl w:val="0"/>
          <w:numId w:val="1028"/>
        </w:numPr>
      </w:pPr>
      <w:r>
        <w:rPr>
          <w:b/>
          <w:bCs/>
        </w:rPr>
        <w:t xml:space="preserve">DPO</w:t>
      </w:r>
      <w:r>
        <w:t xml:space="preserve"> </w:t>
      </w:r>
      <w:r>
        <w:t xml:space="preserve">designado:</w:t>
      </w:r>
      <w:r>
        <w:t xml:space="preserve"> </w:t>
      </w:r>
      <w:r>
        <w:rPr>
          <w:rStyle w:val="VerbatimChar"/>
        </w:rPr>
        <w:t xml:space="preserve">dpo@aurun.app</w:t>
      </w:r>
      <w:r>
        <w:t xml:space="preserve">.</w:t>
      </w:r>
    </w:p>
    <w:p>
      <w:pPr>
        <w:pStyle w:val="Compact"/>
        <w:numPr>
          <w:ilvl w:val="0"/>
          <w:numId w:val="1028"/>
        </w:numPr>
      </w:pPr>
      <w:r>
        <w:rPr>
          <w:b/>
          <w:bCs/>
        </w:rPr>
        <w:t xml:space="preserve">Contacto de privacidad</w:t>
      </w:r>
      <w:r>
        <w:t xml:space="preserve">:</w:t>
      </w:r>
      <w:r>
        <w:t xml:space="preserve"> </w:t>
      </w:r>
      <w:r>
        <w:rPr>
          <w:rStyle w:val="VerbatimChar"/>
        </w:rPr>
        <w:t xml:space="preserve">privacy@aurun.app</w:t>
      </w:r>
      <w:r>
        <w:t xml:space="preserve">.</w:t>
      </w:r>
    </w:p>
    <w:p>
      <w:pPr>
        <w:pStyle w:val="Compact"/>
        <w:numPr>
          <w:ilvl w:val="0"/>
          <w:numId w:val="1028"/>
        </w:numPr>
      </w:pPr>
      <w:r>
        <w:rPr>
          <w:b/>
          <w:bCs/>
        </w:rPr>
        <w:t xml:space="preserve">Registro de actividades de tratamiento</w:t>
      </w:r>
      <w:r>
        <w:t xml:space="preserve"> </w:t>
      </w:r>
      <w:r>
        <w:t xml:space="preserve">(art. 30 RGPD) mantenido internamente.</w:t>
      </w:r>
    </w:p>
    <w:p>
      <w:pPr>
        <w:pStyle w:val="Compact"/>
        <w:numPr>
          <w:ilvl w:val="0"/>
          <w:numId w:val="1028"/>
        </w:numPr>
      </w:pPr>
      <w:r>
        <w:rPr>
          <w:b/>
          <w:bCs/>
        </w:rPr>
        <w:t xml:space="preserve">AIPD</w:t>
      </w:r>
      <w:r>
        <w:t xml:space="preserve"> </w:t>
      </w:r>
      <w:r>
        <w:t xml:space="preserve">documentada para verificación de identidad, matching IA y procesamiento de vídeo.</w:t>
      </w:r>
    </w:p>
    <w:p>
      <w:pPr>
        <w:pStyle w:val="Compact"/>
        <w:numPr>
          <w:ilvl w:val="0"/>
          <w:numId w:val="1028"/>
        </w:numPr>
      </w:pPr>
      <w:r>
        <w:rPr>
          <w:b/>
          <w:bCs/>
        </w:rPr>
        <w:t xml:space="preserve">Plan de auditoría anual</w:t>
      </w:r>
      <w:r>
        <w:t xml:space="preserve"> </w:t>
      </w:r>
      <w:r>
        <w:t xml:space="preserve">con revisión externa programada.</w:t>
      </w:r>
    </w:p>
    <w:p>
      <w:r>
        <w:pict>
          <v:rect style="width:0;height:1.5pt" o:hralign="center" o:hrstd="t" o:hr="t"/>
        </w:pict>
      </w:r>
    </w:p>
    <w:bookmarkEnd w:id="53"/>
    <w:bookmarkStart w:id="54" w:name="ventaja-competitiva"/>
    <w:p>
      <w:pPr>
        <w:pStyle w:val="Heading1"/>
      </w:pPr>
      <w:r>
        <w:t xml:space="preserve">11. Ventaja competitiva</w:t>
      </w:r>
    </w:p>
    <w:p>
      <w:pPr>
        <w:pStyle w:val="FirstParagraph"/>
      </w:pPr>
      <w:r>
        <w:t xml:space="preserve">A diferencia de la mayoría de competidores en el sector dating/social, Aurun:</w:t>
      </w:r>
    </w:p>
    <w:p>
      <w:pPr>
        <w:pStyle w:val="Compact"/>
        <w:numPr>
          <w:ilvl w:val="0"/>
          <w:numId w:val="1029"/>
        </w:numPr>
      </w:pPr>
      <w:r>
        <w:rPr>
          <w:b/>
          <w:bCs/>
        </w:rPr>
        <w:t xml:space="preserve">No procesa datos biométricos para inferencia de personalidad</w:t>
      </w:r>
      <w:r>
        <w:t xml:space="preserve"> </w:t>
      </w:r>
      <w:r>
        <w:t xml:space="preserve">— gran parte de las apps competidoras lo hacen y son vulnerables a sanciones bajo el AI Act.</w:t>
      </w:r>
    </w:p>
    <w:p>
      <w:pPr>
        <w:pStyle w:val="Compact"/>
        <w:numPr>
          <w:ilvl w:val="0"/>
          <w:numId w:val="1029"/>
        </w:numPr>
      </w:pPr>
      <w:r>
        <w:rPr>
          <w:b/>
          <w:bCs/>
        </w:rPr>
        <w:t xml:space="preserve">Permite ejercer todos los derechos GDPR desde la app</w:t>
      </w:r>
      <w:r>
        <w:t xml:space="preserve">, sin formularios externos ni esperas.</w:t>
      </w:r>
    </w:p>
    <w:p>
      <w:pPr>
        <w:pStyle w:val="Compact"/>
        <w:numPr>
          <w:ilvl w:val="0"/>
          <w:numId w:val="1029"/>
        </w:numPr>
      </w:pPr>
      <w:r>
        <w:rPr>
          <w:b/>
          <w:bCs/>
        </w:rPr>
        <w:t xml:space="preserve">Aplica retención corta (7 días) a datos sensibles</w:t>
      </w:r>
      <w:r>
        <w:t xml:space="preserve">, frente a meses o años habituales en el sector.</w:t>
      </w:r>
    </w:p>
    <w:p>
      <w:pPr>
        <w:pStyle w:val="Compact"/>
        <w:numPr>
          <w:ilvl w:val="0"/>
          <w:numId w:val="1029"/>
        </w:numPr>
      </w:pPr>
      <w:r>
        <w:rPr>
          <w:b/>
          <w:bCs/>
        </w:rPr>
        <w:t xml:space="preserve">Documenta públicamente la lógica de cada sistema de IA</w:t>
      </w:r>
      <w:r>
        <w:t xml:space="preserve">, anticipándose a la futura obligación de</w:t>
      </w:r>
      <w:r>
        <w:t xml:space="preserve"> </w:t>
      </w:r>
      <w:r>
        <w:t xml:space="preserve">“AI cards”</w:t>
      </w:r>
      <w:r>
        <w:t xml:space="preserve"> </w:t>
      </w:r>
      <w:r>
        <w:t xml:space="preserve">del AI Act.</w:t>
      </w:r>
    </w:p>
    <w:p>
      <w:pPr>
        <w:pStyle w:val="Compact"/>
        <w:numPr>
          <w:ilvl w:val="0"/>
          <w:numId w:val="1029"/>
        </w:numPr>
      </w:pPr>
      <w:r>
        <w:rPr>
          <w:b/>
          <w:bCs/>
        </w:rPr>
        <w:t xml:space="preserve">Revisión humana obligatoria</w:t>
      </w:r>
      <w:r>
        <w:t xml:space="preserve"> </w:t>
      </w:r>
      <w:r>
        <w:t xml:space="preserve">en cualquier decisión automatizada con efectos para el usuario.</w:t>
      </w:r>
    </w:p>
    <w:p>
      <w:pPr>
        <w:pStyle w:val="FirstParagraph"/>
      </w:pPr>
      <w:r>
        <w:t xml:space="preserve">Esto convierte el cumplimiento en</w:t>
      </w:r>
      <w:r>
        <w:t xml:space="preserve"> </w:t>
      </w:r>
      <w:r>
        <w:rPr>
          <w:b/>
          <w:bCs/>
        </w:rPr>
        <w:t xml:space="preserve">valor de marca</w:t>
      </w:r>
      <w:r>
        <w:t xml:space="preserve"> </w:t>
      </w:r>
      <w:r>
        <w:t xml:space="preserve">y reduce drásticamente la superficie de exposición a sanciones y litigios.</w:t>
      </w:r>
    </w:p>
    <w:p>
      <w:r>
        <w:pict>
          <v:rect style="width:0;height:1.5pt" o:hralign="center" o:hrstd="t" o:hr="t"/>
        </w:pict>
      </w:r>
    </w:p>
    <w:bookmarkEnd w:id="54"/>
    <w:bookmarkStart w:id="55" w:name="riesgos-residuales-y-plan-de-mitigación"/>
    <w:p>
      <w:pPr>
        <w:pStyle w:val="Heading1"/>
      </w:pPr>
      <w:r>
        <w:t xml:space="preserve">12. Riesgos residuales y plan de mitigación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Riesgo residual</w:t>
            </w:r>
          </w:p>
        </w:tc>
        <w:tc>
          <w:tcPr/>
          <w:p>
            <w:pPr>
              <w:pStyle w:val="Compact"/>
            </w:pPr>
            <w:r>
              <w:t xml:space="preserve">Severidad</w:t>
            </w:r>
          </w:p>
        </w:tc>
        <w:tc>
          <w:tcPr/>
          <w:p>
            <w:pPr>
              <w:pStyle w:val="Compact"/>
            </w:pPr>
            <w:r>
              <w:t xml:space="preserve">Mitigación planificada</w:t>
            </w:r>
          </w:p>
        </w:tc>
        <w:tc>
          <w:tcPr/>
          <w:p>
            <w:pPr>
              <w:pStyle w:val="Compact"/>
            </w:pPr>
            <w:r>
              <w:t xml:space="preserve">Plazo</w:t>
            </w:r>
          </w:p>
        </w:tc>
      </w:tr>
      <w:tr>
        <w:tc>
          <w:tcPr/>
          <w:p>
            <w:pPr>
              <w:pStyle w:val="Compact"/>
            </w:pPr>
            <w:r>
              <w:t xml:space="preserve">Falta de DPO externo certificado</w:t>
            </w:r>
          </w:p>
        </w:tc>
        <w:tc>
          <w:tcPr/>
          <w:p>
            <w:pPr>
              <w:pStyle w:val="Compact"/>
            </w:pPr>
            <w:r>
              <w:t xml:space="preserve">Media</w:t>
            </w:r>
          </w:p>
        </w:tc>
        <w:tc>
          <w:tcPr/>
          <w:p>
            <w:pPr>
              <w:pStyle w:val="Compact"/>
            </w:pPr>
            <w:r>
              <w:t xml:space="preserve">Contratación de DPO externo certificado por AEPD</w:t>
            </w:r>
          </w:p>
        </w:tc>
        <w:tc>
          <w:tcPr/>
          <w:p>
            <w:pPr>
              <w:pStyle w:val="Compact"/>
            </w:pPr>
            <w:r>
              <w:t xml:space="preserve">Q3 2026</w:t>
            </w:r>
          </w:p>
        </w:tc>
      </w:tr>
      <w:tr>
        <w:tc>
          <w:tcPr/>
          <w:p>
            <w:pPr>
              <w:pStyle w:val="Compact"/>
            </w:pPr>
            <w:r>
              <w:t xml:space="preserve">DPA pendientes con algunos encargados menores</w:t>
            </w:r>
          </w:p>
        </w:tc>
        <w:tc>
          <w:tcPr/>
          <w:p>
            <w:pPr>
              <w:pStyle w:val="Compact"/>
            </w:pPr>
            <w:r>
              <w:t xml:space="preserve">Baja</w:t>
            </w:r>
          </w:p>
        </w:tc>
        <w:tc>
          <w:tcPr/>
          <w:p>
            <w:pPr>
              <w:pStyle w:val="Compact"/>
            </w:pPr>
            <w:r>
              <w:t xml:space="preserve">Firma sistemática con todos los encargados</w:t>
            </w:r>
          </w:p>
        </w:tc>
        <w:tc>
          <w:tcPr/>
          <w:p>
            <w:pPr>
              <w:pStyle w:val="Compact"/>
            </w:pPr>
            <w:r>
              <w:t xml:space="preserve">Q2 2026</w:t>
            </w:r>
          </w:p>
        </w:tc>
      </w:tr>
      <w:tr>
        <w:tc>
          <w:tcPr/>
          <w:p>
            <w:pPr>
              <w:pStyle w:val="Compact"/>
            </w:pPr>
            <w:r>
              <w:t xml:space="preserve">Auditoría externa independiente</w:t>
            </w:r>
          </w:p>
        </w:tc>
        <w:tc>
          <w:tcPr/>
          <w:p>
            <w:pPr>
              <w:pStyle w:val="Compact"/>
            </w:pPr>
            <w:r>
              <w:t xml:space="preserve">Media</w:t>
            </w:r>
          </w:p>
        </w:tc>
        <w:tc>
          <w:tcPr/>
          <w:p>
            <w:pPr>
              <w:pStyle w:val="Compact"/>
            </w:pPr>
            <w:r>
              <w:t xml:space="preserve">Contratación firma especializada</w:t>
            </w:r>
          </w:p>
        </w:tc>
        <w:tc>
          <w:tcPr/>
          <w:p>
            <w:pPr>
              <w:pStyle w:val="Compact"/>
            </w:pPr>
            <w:r>
              <w:t xml:space="preserve">Q3 2026</w:t>
            </w:r>
          </w:p>
        </w:tc>
      </w:tr>
      <w:tr>
        <w:tc>
          <w:tcPr/>
          <w:p>
            <w:pPr>
              <w:pStyle w:val="Compact"/>
            </w:pPr>
            <w:r>
              <w:t xml:space="preserve">Representante en la UE (art. 27 RGPD)</w:t>
            </w:r>
          </w:p>
        </w:tc>
        <w:tc>
          <w:tcPr/>
          <w:p>
            <w:pPr>
              <w:pStyle w:val="Compact"/>
            </w:pPr>
            <w:r>
              <w:t xml:space="preserve">Bajo</w:t>
            </w:r>
          </w:p>
        </w:tc>
        <w:tc>
          <w:tcPr/>
          <w:p>
            <w:pPr>
              <w:pStyle w:val="Compact"/>
            </w:pPr>
            <w:r>
              <w:t xml:space="preserve">Solo aplicable si traslado de entidad fuera de UE</w:t>
            </w:r>
          </w:p>
        </w:tc>
        <w:tc>
          <w:tcPr/>
          <w:p>
            <w:pPr>
              <w:pStyle w:val="Compact"/>
            </w:pPr>
            <w:r>
              <w:t xml:space="preserve">Cuando aplique</w:t>
            </w:r>
          </w:p>
        </w:tc>
      </w:tr>
      <w:tr>
        <w:tc>
          <w:tcPr/>
          <w:p>
            <w:pPr>
              <w:pStyle w:val="Compact"/>
            </w:pPr>
            <w:r>
              <w:t xml:space="preserve">Certificación ISO 27701 (privacidad)</w:t>
            </w:r>
          </w:p>
        </w:tc>
        <w:tc>
          <w:tcPr/>
          <w:p>
            <w:pPr>
              <w:pStyle w:val="Compact"/>
            </w:pPr>
            <w:r>
              <w:t xml:space="preserve">Bajo</w:t>
            </w:r>
          </w:p>
        </w:tc>
        <w:tc>
          <w:tcPr/>
          <w:p>
            <w:pPr>
              <w:pStyle w:val="Compact"/>
            </w:pPr>
            <w:r>
              <w:t xml:space="preserve">Roadmap de certificación</w:t>
            </w:r>
          </w:p>
        </w:tc>
        <w:tc>
          <w:tcPr/>
          <w:p>
            <w:pPr>
              <w:pStyle w:val="Compact"/>
            </w:pPr>
            <w:r>
              <w:t xml:space="preserve">2027</w:t>
            </w:r>
          </w:p>
        </w:tc>
      </w:tr>
    </w:tbl>
    <w:p>
      <w:pPr>
        <w:pStyle w:val="BodyText"/>
      </w:pPr>
      <w:r>
        <w:t xml:space="preserve">Ninguno de los riesgos residuales constituye un incumplimiento sustantivo; son mejoras incrementales y de gobernanza.</w:t>
      </w:r>
    </w:p>
    <w:p>
      <w:r>
        <w:pict>
          <v:rect style="width:0;height:1.5pt" o:hralign="center" o:hrstd="t" o:hr="t"/>
        </w:pict>
      </w:r>
    </w:p>
    <w:bookmarkEnd w:id="55"/>
    <w:bookmarkStart w:id="56" w:name="conclusión-para-el-inversor"/>
    <w:p>
      <w:pPr>
        <w:pStyle w:val="Heading1"/>
      </w:pPr>
      <w:r>
        <w:t xml:space="preserve">13. Conclusión para el inversor</w:t>
      </w:r>
    </w:p>
    <w:p>
      <w:pPr>
        <w:pStyle w:val="FirstParagraph"/>
      </w:pPr>
      <w:r>
        <w:t xml:space="preserve">Aurun no solo cumple con el marco normativo español y europeo aplicable; ha hecho del</w:t>
      </w:r>
      <w:r>
        <w:t xml:space="preserve"> </w:t>
      </w:r>
      <w:r>
        <w:rPr>
          <w:b/>
          <w:bCs/>
        </w:rPr>
        <w:t xml:space="preserve">privacy-by-design</w:t>
      </w:r>
      <w:r>
        <w:t xml:space="preserve"> </w:t>
      </w:r>
      <w:r>
        <w:t xml:space="preserve">y la</w:t>
      </w:r>
      <w:r>
        <w:t xml:space="preserve"> </w:t>
      </w:r>
      <w:r>
        <w:rPr>
          <w:b/>
          <w:bCs/>
        </w:rPr>
        <w:t xml:space="preserve">transparencia algorítmica</w:t>
      </w:r>
      <w:r>
        <w:t xml:space="preserve"> </w:t>
      </w:r>
      <w:r>
        <w:t xml:space="preserve">parte de su propuesta de valor. El producto ha sido auditado internamente, las prácticas prohibidas por el AI Act se han eliminado en su totalidad, las bases jurídicas del RGPD están correctamente asignadas, los derechos de los usuarios son inmediatamente ejercitables y la gobernanza de IA es pública, documentada y auditable.</w:t>
      </w:r>
    </w:p>
    <w:p>
      <w:pPr>
        <w:pStyle w:val="BodyText"/>
      </w:pPr>
      <w:r>
        <w:t xml:space="preserve">Frente a un sector —el de dating y social media— históricamente expuesto a sanciones multimillonarias por parte de la AEPD, la CNIL y el EDPB (Meta, Tinder, Grindr, Clearview), Aurun se posiciona como una plataforma</w:t>
      </w:r>
      <w:r>
        <w:t xml:space="preserve"> </w:t>
      </w:r>
      <w:r>
        <w:rPr>
          <w:b/>
          <w:bCs/>
        </w:rPr>
        <w:t xml:space="preserve">legalmente sostenible</w:t>
      </w:r>
      <w:r>
        <w:t xml:space="preserve">, con una superficie de riesgo regulatorio reducida y con la capacidad de operar sin restricciones en todos los países de la Unión Europea desde el primer día.</w:t>
      </w:r>
    </w:p>
    <w:p>
      <w:pPr>
        <w:pStyle w:val="BodyText"/>
      </w:pPr>
      <w:r>
        <w:t xml:space="preserve">El cumplimiento normativo no es para Aurun un coste de fricción: es un</w:t>
      </w:r>
      <w:r>
        <w:t xml:space="preserve"> </w:t>
      </w:r>
      <w:r>
        <w:rPr>
          <w:b/>
          <w:bCs/>
        </w:rPr>
        <w:t xml:space="preserve">activo competitivo</w:t>
      </w:r>
      <w:r>
        <w:t xml:space="preserve"> </w:t>
      </w:r>
      <w:r>
        <w:t xml:space="preserve">que protege la valoración, facilita la escala internacional y reduce el riesgo legal del inversor.</w:t>
      </w:r>
    </w:p>
    <w:p>
      <w:r>
        <w:pict>
          <v:rect style="width:0;height:1.5pt" o:hralign="center" o:hrstd="t" o:hr="t"/>
        </w:pict>
      </w:r>
    </w:p>
    <w:p>
      <w:pPr>
        <w:pStyle w:val="FirstParagraph"/>
      </w:pPr>
      <w:r>
        <w:rPr>
          <w:i/>
          <w:iCs/>
        </w:rPr>
        <w:t xml:space="preserve">Documento elaborado en mayo de 2026 · Versión 1.0 · Para uso interno e inversores. Para cualquier consulta sobre este informe contactar con</w:t>
      </w:r>
      <w:r>
        <w:rPr>
          <w:i/>
          <w:iCs/>
        </w:rPr>
        <w:t xml:space="preserve"> </w:t>
      </w:r>
      <w:r>
        <w:rPr>
          <w:rStyle w:val="VerbatimChar"/>
          <w:i/>
          <w:iCs/>
        </w:rPr>
        <w:t xml:space="preserve">dpo@aurun.app</w:t>
      </w:r>
      <w:r>
        <w:rPr>
          <w:i/>
          <w:iCs/>
        </w:rPr>
        <w:t xml:space="preserve">.</w:t>
      </w:r>
    </w:p>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Cumplimiento Normativo — Aurun</dc:title>
  <dc:creator>Protección de Datos (RGPD/LOPDGDD) e Inteligencia Artificial (AI Act)</dc:creator>
  <cp:keywords/>
  <dcterms:created xsi:type="dcterms:W3CDTF">2026-05-16T22:29:22Z</dcterms:created>
  <dcterms:modified xsi:type="dcterms:W3CDTF">2026-05-16T22:29:22Z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Mayo 2026 · Documento para inversores · Versión 1.0</vt:lpwstr>
  </property>
</Properties>
</file>